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bookmarkStart w:id="5" w:name="_GoBack"/>
      <w:bookmarkEnd w:id="5"/>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72"/>
        </w:rPr>
        <w:t>河北省怀来县供销合作社联合社部门</w:t>
      </w:r>
    </w:p>
    <w:p>
      <w:pPr>
        <w:jc w:val="center"/>
      </w:pPr>
      <w:r>
        <w:rPr>
          <w:rFonts w:ascii="方正小标宋_GBK" w:hAnsi="方正小标宋_GBK" w:eastAsia="方正小标宋_GBK" w:cs="方正小标宋_GBK"/>
          <w:color w:val="000000"/>
          <w:sz w:val="72"/>
        </w:rPr>
        <w:t>2022年部门预算绩效文本</w:t>
      </w:r>
    </w:p>
    <w:p>
      <w:pPr>
        <w:jc w:val="center"/>
      </w:pP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楷体_GBK" w:hAnsi="方正楷体_GBK" w:eastAsia="方正楷体_GBK" w:cs="方正楷体_GBK"/>
          <w:b/>
          <w:color w:val="000000"/>
          <w:sz w:val="32"/>
        </w:rPr>
        <w:t>河北省怀来县供销合作社联合社部门编制</w:t>
      </w:r>
    </w:p>
    <w:p>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jc w:val="center"/>
        <w:sectPr>
          <w:pgSz w:w="11900" w:h="16840"/>
          <w:pgMar w:top="1984" w:right="1304" w:bottom="1134" w:left="130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0"/>
        </w:rPr>
        <w:t xml:space="preserve"> </w:t>
      </w:r>
    </w:p>
    <w:p>
      <w:pPr>
        <w:jc w:val="center"/>
      </w:pPr>
      <w:r>
        <w:rPr>
          <w:rFonts w:ascii="方正小标宋_GBK" w:hAnsi="方正小标宋_GBK" w:eastAsia="方正小标宋_GBK" w:cs="方正小标宋_GBK"/>
          <w:color w:val="000000"/>
          <w:sz w:val="30"/>
        </w:rPr>
        <w:t>第一部分 部门整体绩效目标</w:t>
      </w:r>
    </w:p>
    <w:p>
      <w:pPr>
        <w:pStyle w:val="15"/>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3</w:t>
      </w:r>
      <w:r>
        <w:fldChar w:fldCharType="end"/>
      </w:r>
      <w:r>
        <w:fldChar w:fldCharType="end"/>
      </w:r>
    </w:p>
    <w:p>
      <w:r>
        <w:fldChar w:fldCharType="end"/>
      </w:r>
    </w:p>
    <w:p>
      <w:pPr>
        <w:jc w:val="center"/>
      </w:pPr>
      <w:r>
        <w:rPr>
          <w:rFonts w:ascii="方正小标宋_GBK" w:hAnsi="方正小标宋_GBK" w:eastAsia="方正小标宋_GBK" w:cs="方正小标宋_GBK"/>
          <w:color w:val="000000"/>
          <w:sz w:val="30"/>
        </w:rPr>
        <w:t>第二部分 预算项目绩效目标</w:t>
      </w:r>
    </w:p>
    <w:p>
      <w:pPr>
        <w:pStyle w:val="15"/>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1.怀财字[2022]7号 农村产权交易中心工作经费绩效目标表</w:t>
      </w:r>
      <w:r>
        <w:tab/>
      </w:r>
      <w:r>
        <w:fldChar w:fldCharType="begin"/>
      </w:r>
      <w:r>
        <w:instrText xml:space="preserve">PAGEREF _Toc_4_4_0000000004 \h</w:instrText>
      </w:r>
      <w:r>
        <w:fldChar w:fldCharType="separate"/>
      </w:r>
      <w:r>
        <w:t>5</w:t>
      </w:r>
      <w:r>
        <w:fldChar w:fldCharType="end"/>
      </w:r>
      <w:r>
        <w:fldChar w:fldCharType="end"/>
      </w:r>
    </w:p>
    <w:p>
      <w:pPr>
        <w:pStyle w:val="15"/>
        <w:tabs>
          <w:tab w:val="right" w:leader="dot" w:pos="9282"/>
        </w:tabs>
      </w:pPr>
      <w:r>
        <w:fldChar w:fldCharType="begin"/>
      </w:r>
      <w:r>
        <w:instrText xml:space="preserve"> HYPERLINK \l "_Toc_4_4_0000000005" </w:instrText>
      </w:r>
      <w:r>
        <w:fldChar w:fldCharType="separate"/>
      </w:r>
      <w:r>
        <w:t>2.怀财字[2022]7号 食盐补助绩效目标表</w:t>
      </w:r>
      <w:r>
        <w:tab/>
      </w:r>
      <w:r>
        <w:fldChar w:fldCharType="begin"/>
      </w:r>
      <w:r>
        <w:instrText xml:space="preserve">PAGEREF _Toc_4_4_0000000005 \h</w:instrText>
      </w:r>
      <w:r>
        <w:fldChar w:fldCharType="separate"/>
      </w:r>
      <w:r>
        <w:t>6</w:t>
      </w:r>
      <w:r>
        <w:fldChar w:fldCharType="end"/>
      </w:r>
      <w:r>
        <w:fldChar w:fldCharType="end"/>
      </w:r>
    </w:p>
    <w:p>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br w:type="page"/>
      </w:r>
      <w:r>
        <w:br w:type="textWrapping"/>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第一部分</w:t>
      </w:r>
    </w:p>
    <w:p>
      <w:pPr>
        <w:jc w:val="center"/>
        <w:outlineLvl w:val="0"/>
      </w:pPr>
      <w:r>
        <w:rPr>
          <w:rFonts w:ascii="方正小标宋_GBK" w:hAnsi="方正小标宋_GBK" w:eastAsia="方正小标宋_GBK" w:cs="方正小标宋_GBK"/>
          <w:color w:val="000000"/>
          <w:sz w:val="44"/>
        </w:rPr>
        <w:t>部门整体绩效目标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5"/>
      </w:pPr>
      <w:r>
        <w:t>2022年全县供销工作总体绩效目标是：</w:t>
      </w:r>
    </w:p>
    <w:p>
      <w:pPr>
        <w:pStyle w:val="5"/>
      </w:pPr>
      <w:r>
        <w:t>坚持以习近平新时代中国特色社会主义思想为指导，全面贯彻党的十九届五中、六中全会精神，深入学习习近平总书记对供销合作社工作的重要指示精神，按照国家和省、市、县关于深化供销综合改革以及乡村振兴战略规划要求，紧紧围绕“三农”工作大局，以提升为农服务能力为根本，发展生产、供销、信用“三位一体”综合合作，把供销社打造成为与农民利益联结更紧密、为农服务功能更完备、市场化运行更高效的合作经济组织，成为服务农民生产生活的生力军和综合平台，在推进农业农村现代化和实施乡村振兴战略中更好地发挥作用。</w:t>
      </w:r>
    </w:p>
    <w:p>
      <w:pPr>
        <w:pStyle w:val="5"/>
      </w:pPr>
      <w:r>
        <w:t>结合《河北省人民政府关于持续深化供销合作社综合改革助力全面推进乡村振兴的方案》、市委、市政府《关于贯彻落实习近平总书记重要指示发展壮大供销合作事业的实施意见》和《2022年张家口市供销合作社系统重点工作任务》进行工作</w:t>
      </w:r>
    </w:p>
    <w:p>
      <w:pPr>
        <w:pStyle w:val="5"/>
      </w:pPr>
    </w:p>
    <w:p>
      <w:pPr>
        <w:spacing w:before="10" w:after="10"/>
        <w:ind w:firstLine="560"/>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6"/>
      </w:pPr>
      <w:r>
        <w:t>一、持续加大开放办社力度</w:t>
      </w:r>
    </w:p>
    <w:p>
      <w:pPr>
        <w:pStyle w:val="6"/>
      </w:pPr>
      <w:r>
        <w:t xml:space="preserve">2022年,我社将继续加大开放办社力度，计划吸收5～8家实力强、前景广、信誉度高的农民专业合作社、涉农企业等新型农业经营服务主体入社，打造“供销社+新型农业经营主体”发展新模式，在农资、电商、金融、官方背书宣传和参加展销等方面进行全面帮扶支持，扩大产品影响力，助推农产品销售。 </w:t>
      </w:r>
    </w:p>
    <w:p>
      <w:pPr>
        <w:pStyle w:val="6"/>
      </w:pPr>
      <w:r>
        <w:t>二、全力推进农村产权交易平台建设工作</w:t>
      </w:r>
    </w:p>
    <w:p>
      <w:pPr>
        <w:pStyle w:val="6"/>
      </w:pPr>
      <w:r>
        <w:t>一是继续健全完善县乡村三级农村产权流转交易服务体系，广泛宣传，让广大群众了解农村产权交易的意义和有关程序规则。二是分期分批对乡村两级产权交易工作人员进行业务培训，规范交易流程，有效提高服务水平和能力。三是确定试点，规范运行，将条件成熟的存瑞镇作为产权交易试点乡镇，以此复制，逐步在其他乡镇推广覆盖。四是进一步与农业农村、自然资源、林草部门及各乡镇对接，积极争取各相关职能部门和各乡镇对农村产权交易工作的支持，稳步推进12类农村产权全部进入交易中心公开流转交易，确保交易品种应进必进。2022年交易鉴证业务量实现进一步增长。</w:t>
      </w:r>
    </w:p>
    <w:p>
      <w:pPr>
        <w:pStyle w:val="6"/>
      </w:pPr>
      <w:r>
        <w:t>三、加快完善规范基层组织建设</w:t>
      </w:r>
    </w:p>
    <w:p>
      <w:pPr>
        <w:pStyle w:val="6"/>
      </w:pPr>
      <w:r>
        <w:t>我社将继续加快升级改造基层社。对资产完好、设施完善、组织健全、经济实力较强的基层社，着力培育成标杆社;对有场地、有资产、无经营服务，靠资产租赁承包维持生存的基层社，通过招商引资、合作开发等方式改造提升，盘活后的基层社优先用于综合服务社、农村电商的发展;对无场地、无人员、无网点的空白基层社，坚持开放办社的原则，采取“两社融合”模式恢复新建。</w:t>
      </w:r>
    </w:p>
    <w:p>
      <w:pPr>
        <w:pStyle w:val="6"/>
      </w:pPr>
      <w:r>
        <w:t>四、积极推进“为农服务综合平台项目”建设</w:t>
      </w:r>
    </w:p>
    <w:p>
      <w:pPr>
        <w:pStyle w:val="6"/>
      </w:pPr>
      <w:r>
        <w:t>有效推进我县为农服务综合平台项目建设工作，引进河北供销便利店连锁有限公司，参照“定州模式”，搭建融合“互联网+党务政务服务、社会公共服务、供销商品服务、农业生产服务”于一体的“便民、惠民、利民”综合服务平台。结合我县实际，拟在县、乡、村三级搭建综合服务平台，分别建设1个县级信息服务大厅、升级改造1个县级新型农贸市场、5个城市社区综合服务站；利用现有乡镇办公场地或供销社闲置场地进行升级改造，建设8个乡镇级新型农贸市场；利用村委会现有办公经营场地建设30个农村（社区）综合服务站。通过项目的实施，使农产品上行、消费品下行，打造城乡社区消费经济“双循环”，为我县在乡村振兴中注入强劲新动能，实现便民、惠民、利民。</w:t>
      </w:r>
    </w:p>
    <w:p>
      <w:pPr>
        <w:pStyle w:val="6"/>
      </w:pPr>
      <w:r>
        <w:t>五、积极开展土地托管服务</w:t>
      </w:r>
    </w:p>
    <w:p>
      <w:pPr>
        <w:pStyle w:val="6"/>
      </w:pPr>
      <w:r>
        <w:t>联合多家农机专业合作社创建农机社会化服务联盟，立足耕、种、管、收、加、贮、销等产业环节，为农户、家庭农场、种植专业合作社提供土地托管、半托管服务，促进农业现代化精准管理和耕地资源的高效利用。</w:t>
      </w:r>
    </w:p>
    <w:p>
      <w:pPr>
        <w:pStyle w:val="6"/>
      </w:pPr>
      <w:r>
        <w:t>六、大力助推特色农产品销售</w:t>
      </w:r>
    </w:p>
    <w:p>
      <w:pPr>
        <w:pStyle w:val="6"/>
      </w:pPr>
      <w:r>
        <w:t>积极开展产销对接和农超对接，充分发挥供销合作社“线上线下”流通网络优势，组织开放办社企业参加各类农交会、展销会等展销活动，搭建农产品销售平台，进一步扩大特色农产品销售规模。全面对接省社“农交汇”“河北供销馆”等电商平台，推进农产品进城、日用品下乡“双向流通”，开展农产品网上交易，拓宽农产品的销售渠道，构建供销社系统上下贯通、统一开放、畅通高效、便民惠民的电商经营服务体系。</w:t>
      </w:r>
    </w:p>
    <w:p>
      <w:pPr>
        <w:pStyle w:val="6"/>
      </w:pPr>
    </w:p>
    <w:p>
      <w:pPr>
        <w:spacing w:before="10" w:after="10"/>
        <w:ind w:firstLine="560"/>
        <w:outlineLvl w:val="1"/>
      </w:pPr>
      <w:bookmarkStart w:id="2" w:name="_Toc_2_2_0000000003"/>
      <w:r>
        <w:rPr>
          <w:rFonts w:ascii="方正黑体_GBK" w:hAnsi="方正黑体_GBK" w:eastAsia="方正黑体_GBK" w:cs="方正黑体_GBK"/>
          <w:color w:val="000000"/>
          <w:sz w:val="28"/>
        </w:rPr>
        <w:t>三、工作保障措施</w:t>
      </w:r>
      <w:bookmarkEnd w:id="2"/>
    </w:p>
    <w:p>
      <w:pPr>
        <w:pStyle w:val="7"/>
      </w:pPr>
      <w:r>
        <w:t>1.努力贯彻落实相关政策法规，认真执行领导班子决议，努力完成各项目标任务。</w:t>
      </w:r>
    </w:p>
    <w:p>
      <w:pPr>
        <w:pStyle w:val="7"/>
      </w:pPr>
      <w:r>
        <w:t>2.坚持工作原则，廉洁勤政，以身作则，创造性地开展工作。</w:t>
      </w:r>
    </w:p>
    <w:p>
      <w:pPr>
        <w:pStyle w:val="7"/>
      </w:pPr>
      <w:r>
        <w:t>3.保障各项工作资金能够落实到位，促进各项工作顺利进行。</w:t>
      </w:r>
    </w:p>
    <w:p>
      <w:pPr>
        <w:pStyle w:val="7"/>
      </w:pPr>
      <w:r>
        <w:t>4.严格控制各项费用开支，抓好内部成本核算，降低成本投入。</w:t>
      </w:r>
    </w:p>
    <w:p>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outlineLvl w:val="0"/>
      </w:pPr>
      <w:r>
        <w:rPr>
          <w:rFonts w:ascii="方正小标宋_GBK" w:hAnsi="方正小标宋_GBK" w:eastAsia="方正小标宋_GBK" w:cs="方正小标宋_GBK"/>
          <w:color w:val="000000"/>
          <w:sz w:val="44"/>
        </w:rPr>
        <w:t>预算项目绩效目标</w:t>
      </w:r>
    </w:p>
    <w:p>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jc w:val="center"/>
      </w:pPr>
      <w:r>
        <w:rPr>
          <w:rFonts w:ascii="方正仿宋_GBK" w:hAnsi="方正仿宋_GBK" w:eastAsia="方正仿宋_GBK" w:cs="方正仿宋_GBK"/>
          <w:color w:val="000000"/>
          <w:sz w:val="28"/>
        </w:rPr>
        <w:t xml:space="preserve"> </w:t>
      </w:r>
    </w:p>
    <w:p>
      <w:pPr>
        <w:ind w:firstLine="560"/>
        <w:outlineLvl w:val="3"/>
      </w:pPr>
      <w:bookmarkStart w:id="3" w:name="_Toc_4_4_0000000004"/>
      <w:r>
        <w:rPr>
          <w:rFonts w:ascii="方正仿宋_GBK" w:hAnsi="方正仿宋_GBK" w:eastAsia="方正仿宋_GBK" w:cs="方正仿宋_GBK"/>
          <w:color w:val="000000"/>
          <w:sz w:val="28"/>
        </w:rPr>
        <w:t>1.怀财字[2022]7号 农村产权交易中心工作经费绩效目标表</w:t>
      </w:r>
      <w:bookmarkEnd w:id="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975001河北省怀来县供销合作社联合社</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13073022P00824010001D</w:t>
            </w:r>
          </w:p>
        </w:tc>
        <w:tc>
          <w:tcPr>
            <w:tcW w:w="1587" w:type="dxa"/>
            <w:vAlign w:val="center"/>
          </w:tcPr>
          <w:p>
            <w:pPr>
              <w:pStyle w:val="11"/>
            </w:pPr>
            <w:r>
              <w:t>项目名称</w:t>
            </w:r>
          </w:p>
        </w:tc>
        <w:tc>
          <w:tcPr>
            <w:tcW w:w="4422" w:type="dxa"/>
            <w:gridSpan w:val="3"/>
            <w:vAlign w:val="center"/>
          </w:tcPr>
          <w:p>
            <w:pPr>
              <w:pStyle w:val="10"/>
            </w:pPr>
            <w:r>
              <w:t>怀财字[2022]7号 农村产权交易中心工作经费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10.00</w:t>
            </w:r>
          </w:p>
        </w:tc>
        <w:tc>
          <w:tcPr>
            <w:tcW w:w="1587" w:type="dxa"/>
            <w:vAlign w:val="center"/>
          </w:tcPr>
          <w:p>
            <w:pPr>
              <w:pStyle w:val="11"/>
            </w:pPr>
            <w:r>
              <w:t>其中：财政    资金</w:t>
            </w:r>
          </w:p>
        </w:tc>
        <w:tc>
          <w:tcPr>
            <w:tcW w:w="1304" w:type="dxa"/>
            <w:vAlign w:val="center"/>
          </w:tcPr>
          <w:p>
            <w:pPr>
              <w:pStyle w:val="10"/>
            </w:pPr>
            <w:r>
              <w:t>10.00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怀财字[2022]7号 农村产权交易中心工作经费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1.保障产权交易中心工作运转</w:t>
            </w:r>
          </w:p>
          <w:p>
            <w:pPr>
              <w:pStyle w:val="10"/>
            </w:pPr>
            <w:r>
              <w:t>2.保障中心的宣传推广</w:t>
            </w:r>
          </w:p>
          <w:p>
            <w:pPr>
              <w:pStyle w:val="10"/>
            </w:pPr>
            <w:r>
              <w:t>3.帮助业务培训稳步进行</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工作经费充足</w:t>
            </w:r>
          </w:p>
        </w:tc>
        <w:tc>
          <w:tcPr>
            <w:tcW w:w="2891" w:type="dxa"/>
            <w:vAlign w:val="center"/>
          </w:tcPr>
          <w:p>
            <w:pPr>
              <w:pStyle w:val="10"/>
            </w:pPr>
            <w:r>
              <w:t>日常工作经费充足</w:t>
            </w:r>
          </w:p>
        </w:tc>
        <w:tc>
          <w:tcPr>
            <w:tcW w:w="1276" w:type="dxa"/>
            <w:vAlign w:val="center"/>
          </w:tcPr>
          <w:p>
            <w:pPr>
              <w:pStyle w:val="10"/>
            </w:pPr>
            <w:r>
              <w:t>≥95百分之</w:t>
            </w:r>
          </w:p>
        </w:tc>
        <w:tc>
          <w:tcPr>
            <w:tcW w:w="1843" w:type="dxa"/>
            <w:vAlign w:val="center"/>
          </w:tcPr>
          <w:p>
            <w:pPr>
              <w:pStyle w:val="10"/>
            </w:pPr>
            <w:r>
              <w:t>依据政府批文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日常运转和宣传</w:t>
            </w:r>
          </w:p>
        </w:tc>
        <w:tc>
          <w:tcPr>
            <w:tcW w:w="2891" w:type="dxa"/>
            <w:vAlign w:val="center"/>
          </w:tcPr>
          <w:p>
            <w:pPr>
              <w:pStyle w:val="10"/>
            </w:pPr>
            <w:r>
              <w:t>运转和宣传高效</w:t>
            </w:r>
          </w:p>
        </w:tc>
        <w:tc>
          <w:tcPr>
            <w:tcW w:w="1276" w:type="dxa"/>
            <w:vAlign w:val="center"/>
          </w:tcPr>
          <w:p>
            <w:pPr>
              <w:pStyle w:val="10"/>
            </w:pPr>
            <w:r>
              <w:t>≥95百分之</w:t>
            </w:r>
          </w:p>
        </w:tc>
        <w:tc>
          <w:tcPr>
            <w:tcW w:w="1843" w:type="dxa"/>
            <w:vAlign w:val="center"/>
          </w:tcPr>
          <w:p>
            <w:pPr>
              <w:pStyle w:val="10"/>
            </w:pPr>
            <w:r>
              <w:t>依据政府批文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运转成本</w:t>
            </w:r>
          </w:p>
        </w:tc>
        <w:tc>
          <w:tcPr>
            <w:tcW w:w="2891" w:type="dxa"/>
            <w:vAlign w:val="center"/>
          </w:tcPr>
          <w:p>
            <w:pPr>
              <w:pStyle w:val="10"/>
            </w:pPr>
            <w:r>
              <w:t>中心运转成本</w:t>
            </w:r>
          </w:p>
        </w:tc>
        <w:tc>
          <w:tcPr>
            <w:tcW w:w="1276" w:type="dxa"/>
            <w:vAlign w:val="center"/>
          </w:tcPr>
          <w:p>
            <w:pPr>
              <w:pStyle w:val="10"/>
            </w:pPr>
            <w:r>
              <w:t>≥95百分之</w:t>
            </w:r>
          </w:p>
        </w:tc>
        <w:tc>
          <w:tcPr>
            <w:tcW w:w="1843" w:type="dxa"/>
            <w:vAlign w:val="center"/>
          </w:tcPr>
          <w:p>
            <w:pPr>
              <w:pStyle w:val="10"/>
            </w:pPr>
            <w:r>
              <w:t>依据政府批文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及时性</w:t>
            </w:r>
          </w:p>
        </w:tc>
        <w:tc>
          <w:tcPr>
            <w:tcW w:w="2891" w:type="dxa"/>
            <w:vAlign w:val="center"/>
          </w:tcPr>
          <w:p>
            <w:pPr>
              <w:pStyle w:val="10"/>
            </w:pPr>
            <w:r>
              <w:t>及时性</w:t>
            </w:r>
          </w:p>
        </w:tc>
        <w:tc>
          <w:tcPr>
            <w:tcW w:w="1276" w:type="dxa"/>
            <w:vAlign w:val="center"/>
          </w:tcPr>
          <w:p>
            <w:pPr>
              <w:pStyle w:val="10"/>
            </w:pPr>
            <w:r>
              <w:t>≥95百分之</w:t>
            </w:r>
          </w:p>
        </w:tc>
        <w:tc>
          <w:tcPr>
            <w:tcW w:w="1843" w:type="dxa"/>
            <w:vAlign w:val="center"/>
          </w:tcPr>
          <w:p>
            <w:pPr>
              <w:pStyle w:val="10"/>
            </w:pPr>
            <w:r>
              <w:t>依据政府批文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经济效益指标</w:t>
            </w:r>
          </w:p>
        </w:tc>
        <w:tc>
          <w:tcPr>
            <w:tcW w:w="2891" w:type="dxa"/>
            <w:vAlign w:val="center"/>
          </w:tcPr>
          <w:p>
            <w:pPr>
              <w:pStyle w:val="10"/>
            </w:pPr>
            <w:r>
              <w:t>经济效益指标</w:t>
            </w:r>
          </w:p>
        </w:tc>
        <w:tc>
          <w:tcPr>
            <w:tcW w:w="1276" w:type="dxa"/>
            <w:vAlign w:val="center"/>
          </w:tcPr>
          <w:p>
            <w:pPr>
              <w:pStyle w:val="10"/>
            </w:pPr>
            <w:r>
              <w:t>≥95百分之</w:t>
            </w:r>
          </w:p>
        </w:tc>
        <w:tc>
          <w:tcPr>
            <w:tcW w:w="1843" w:type="dxa"/>
            <w:vAlign w:val="center"/>
          </w:tcPr>
          <w:p>
            <w:pPr>
              <w:pStyle w:val="10"/>
            </w:pPr>
            <w:r>
              <w:t>依据政府批文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社会影响力</w:t>
            </w:r>
          </w:p>
        </w:tc>
        <w:tc>
          <w:tcPr>
            <w:tcW w:w="2891" w:type="dxa"/>
            <w:vAlign w:val="center"/>
          </w:tcPr>
          <w:p>
            <w:pPr>
              <w:pStyle w:val="10"/>
            </w:pPr>
            <w:r>
              <w:t>社会影响力</w:t>
            </w:r>
          </w:p>
        </w:tc>
        <w:tc>
          <w:tcPr>
            <w:tcW w:w="1276" w:type="dxa"/>
            <w:vAlign w:val="center"/>
          </w:tcPr>
          <w:p>
            <w:pPr>
              <w:pStyle w:val="10"/>
            </w:pPr>
            <w:r>
              <w:t>≥95百分之</w:t>
            </w:r>
          </w:p>
        </w:tc>
        <w:tc>
          <w:tcPr>
            <w:tcW w:w="1843" w:type="dxa"/>
            <w:vAlign w:val="center"/>
          </w:tcPr>
          <w:p>
            <w:pPr>
              <w:pStyle w:val="10"/>
            </w:pPr>
            <w:r>
              <w:t>依据政府批文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提升服务对象的满意程度</w:t>
            </w:r>
          </w:p>
        </w:tc>
        <w:tc>
          <w:tcPr>
            <w:tcW w:w="1276" w:type="dxa"/>
            <w:vAlign w:val="center"/>
          </w:tcPr>
          <w:p>
            <w:pPr>
              <w:pStyle w:val="10"/>
            </w:pPr>
            <w:r>
              <w:t>≥95百分之</w:t>
            </w:r>
          </w:p>
        </w:tc>
        <w:tc>
          <w:tcPr>
            <w:tcW w:w="1843" w:type="dxa"/>
            <w:vAlign w:val="center"/>
          </w:tcPr>
          <w:p>
            <w:pPr>
              <w:pStyle w:val="10"/>
            </w:pPr>
            <w:r>
              <w:t>依据政府批文</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 w:name="_Toc_4_4_0000000005"/>
      <w:r>
        <w:rPr>
          <w:rFonts w:ascii="方正仿宋_GBK" w:hAnsi="方正仿宋_GBK" w:eastAsia="方正仿宋_GBK" w:cs="方正仿宋_GBK"/>
          <w:color w:val="000000"/>
          <w:sz w:val="28"/>
        </w:rPr>
        <w:t>2.怀财字[2022]7号 食盐补助绩效目标表</w:t>
      </w:r>
      <w:bookmarkEnd w:id="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975001河北省怀来县供销合作社联合社</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13073022P008239100019</w:t>
            </w:r>
          </w:p>
        </w:tc>
        <w:tc>
          <w:tcPr>
            <w:tcW w:w="1587" w:type="dxa"/>
            <w:vAlign w:val="center"/>
          </w:tcPr>
          <w:p>
            <w:pPr>
              <w:pStyle w:val="11"/>
            </w:pPr>
            <w:r>
              <w:t>项目名称</w:t>
            </w:r>
          </w:p>
        </w:tc>
        <w:tc>
          <w:tcPr>
            <w:tcW w:w="4422" w:type="dxa"/>
            <w:gridSpan w:val="3"/>
            <w:vAlign w:val="center"/>
          </w:tcPr>
          <w:p>
            <w:pPr>
              <w:pStyle w:val="10"/>
            </w:pPr>
            <w:r>
              <w:t>怀财字[2022]7号 食盐补助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10.00</w:t>
            </w:r>
          </w:p>
        </w:tc>
        <w:tc>
          <w:tcPr>
            <w:tcW w:w="1587" w:type="dxa"/>
            <w:vAlign w:val="center"/>
          </w:tcPr>
          <w:p>
            <w:pPr>
              <w:pStyle w:val="11"/>
            </w:pPr>
            <w:r>
              <w:t>其中：财政    资金</w:t>
            </w:r>
          </w:p>
        </w:tc>
        <w:tc>
          <w:tcPr>
            <w:tcW w:w="1304" w:type="dxa"/>
            <w:vAlign w:val="center"/>
          </w:tcPr>
          <w:p>
            <w:pPr>
              <w:pStyle w:val="10"/>
            </w:pPr>
            <w:r>
              <w:t>10.00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怀财字[2022]7号 食盐补助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1.购进食盐</w:t>
            </w:r>
          </w:p>
          <w:p>
            <w:pPr>
              <w:pStyle w:val="10"/>
            </w:pPr>
            <w:r>
              <w:t>2.增加储备量</w:t>
            </w:r>
          </w:p>
          <w:p>
            <w:pPr>
              <w:pStyle w:val="10"/>
            </w:pPr>
            <w:r>
              <w:t>3.保障全县食盐市场稳定，人民能吃上放心合格的食盐</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获得贷款购进食盐</w:t>
            </w:r>
          </w:p>
        </w:tc>
        <w:tc>
          <w:tcPr>
            <w:tcW w:w="2891" w:type="dxa"/>
            <w:vAlign w:val="center"/>
          </w:tcPr>
          <w:p>
            <w:pPr>
              <w:pStyle w:val="10"/>
            </w:pPr>
            <w:r>
              <w:t>保障全县食盐储备</w:t>
            </w:r>
          </w:p>
        </w:tc>
        <w:tc>
          <w:tcPr>
            <w:tcW w:w="1276" w:type="dxa"/>
            <w:vAlign w:val="center"/>
          </w:tcPr>
          <w:p>
            <w:pPr>
              <w:pStyle w:val="10"/>
            </w:pPr>
            <w:r>
              <w:t>≥95百分之</w:t>
            </w:r>
          </w:p>
        </w:tc>
        <w:tc>
          <w:tcPr>
            <w:tcW w:w="1843" w:type="dxa"/>
            <w:vAlign w:val="center"/>
          </w:tcPr>
          <w:p>
            <w:pPr>
              <w:pStyle w:val="10"/>
            </w:pPr>
            <w:r>
              <w:t>依据政策规定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≥95百分之</w:t>
            </w:r>
          </w:p>
        </w:tc>
        <w:tc>
          <w:tcPr>
            <w:tcW w:w="1843" w:type="dxa"/>
            <w:vAlign w:val="center"/>
          </w:tcPr>
          <w:p>
            <w:pPr>
              <w:pStyle w:val="10"/>
            </w:pPr>
            <w:r>
              <w:t>依据政策规定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储备量</w:t>
            </w:r>
          </w:p>
        </w:tc>
        <w:tc>
          <w:tcPr>
            <w:tcW w:w="2891" w:type="dxa"/>
            <w:vAlign w:val="center"/>
          </w:tcPr>
          <w:p>
            <w:pPr>
              <w:pStyle w:val="10"/>
            </w:pPr>
            <w:r>
              <w:t>保障全县食盐储备</w:t>
            </w:r>
          </w:p>
        </w:tc>
        <w:tc>
          <w:tcPr>
            <w:tcW w:w="1276" w:type="dxa"/>
            <w:vAlign w:val="center"/>
          </w:tcPr>
          <w:p>
            <w:pPr>
              <w:pStyle w:val="10"/>
            </w:pPr>
            <w:r>
              <w:t>≥95百分之</w:t>
            </w:r>
          </w:p>
        </w:tc>
        <w:tc>
          <w:tcPr>
            <w:tcW w:w="1843" w:type="dxa"/>
            <w:vAlign w:val="center"/>
          </w:tcPr>
          <w:p>
            <w:pPr>
              <w:pStyle w:val="10"/>
            </w:pPr>
            <w:r>
              <w:t>依据政策规定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及时性</w:t>
            </w:r>
          </w:p>
        </w:tc>
        <w:tc>
          <w:tcPr>
            <w:tcW w:w="2891" w:type="dxa"/>
            <w:vAlign w:val="center"/>
          </w:tcPr>
          <w:p>
            <w:pPr>
              <w:pStyle w:val="10"/>
            </w:pPr>
            <w:r>
              <w:t>及时性</w:t>
            </w:r>
          </w:p>
        </w:tc>
        <w:tc>
          <w:tcPr>
            <w:tcW w:w="1276" w:type="dxa"/>
            <w:vAlign w:val="center"/>
          </w:tcPr>
          <w:p>
            <w:pPr>
              <w:pStyle w:val="10"/>
            </w:pPr>
            <w:r>
              <w:t>≥95百分之</w:t>
            </w:r>
          </w:p>
        </w:tc>
        <w:tc>
          <w:tcPr>
            <w:tcW w:w="1843" w:type="dxa"/>
            <w:vAlign w:val="center"/>
          </w:tcPr>
          <w:p>
            <w:pPr>
              <w:pStyle w:val="10"/>
            </w:pPr>
            <w:r>
              <w:t>依据政策规定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经济效益指标</w:t>
            </w:r>
          </w:p>
        </w:tc>
        <w:tc>
          <w:tcPr>
            <w:tcW w:w="2891" w:type="dxa"/>
            <w:vAlign w:val="center"/>
          </w:tcPr>
          <w:p>
            <w:pPr>
              <w:pStyle w:val="10"/>
            </w:pPr>
            <w:r>
              <w:t>经济效益指标</w:t>
            </w:r>
          </w:p>
        </w:tc>
        <w:tc>
          <w:tcPr>
            <w:tcW w:w="1276" w:type="dxa"/>
            <w:vAlign w:val="center"/>
          </w:tcPr>
          <w:p>
            <w:pPr>
              <w:pStyle w:val="10"/>
            </w:pPr>
            <w:r>
              <w:t>≥95百分之</w:t>
            </w:r>
          </w:p>
        </w:tc>
        <w:tc>
          <w:tcPr>
            <w:tcW w:w="1843" w:type="dxa"/>
            <w:vAlign w:val="center"/>
          </w:tcPr>
          <w:p>
            <w:pPr>
              <w:pStyle w:val="10"/>
            </w:pPr>
            <w:r>
              <w:t>依据政策规定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社会影响力</w:t>
            </w:r>
          </w:p>
        </w:tc>
        <w:tc>
          <w:tcPr>
            <w:tcW w:w="2891" w:type="dxa"/>
            <w:vAlign w:val="center"/>
          </w:tcPr>
          <w:p>
            <w:pPr>
              <w:pStyle w:val="10"/>
            </w:pPr>
            <w:r>
              <w:t>社会影响力</w:t>
            </w:r>
          </w:p>
        </w:tc>
        <w:tc>
          <w:tcPr>
            <w:tcW w:w="1276" w:type="dxa"/>
            <w:vAlign w:val="center"/>
          </w:tcPr>
          <w:p>
            <w:pPr>
              <w:pStyle w:val="10"/>
            </w:pPr>
            <w:r>
              <w:t>≥95百分之</w:t>
            </w:r>
          </w:p>
        </w:tc>
        <w:tc>
          <w:tcPr>
            <w:tcW w:w="1843" w:type="dxa"/>
            <w:vAlign w:val="center"/>
          </w:tcPr>
          <w:p>
            <w:pPr>
              <w:pStyle w:val="10"/>
            </w:pPr>
            <w:r>
              <w:t>依据政策规定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≥95百分之</w:t>
            </w:r>
          </w:p>
        </w:tc>
        <w:tc>
          <w:tcPr>
            <w:tcW w:w="1843" w:type="dxa"/>
            <w:vAlign w:val="center"/>
          </w:tcPr>
          <w:p>
            <w:pPr>
              <w:pStyle w:val="10"/>
            </w:pPr>
            <w:r>
              <w:t>依据政策规定</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23F"/>
    <w:rsid w:val="00676112"/>
    <w:rsid w:val="0075493E"/>
    <w:rsid w:val="00E8523F"/>
    <w:rsid w:val="03C61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总体目标文件"/>
    <w:basedOn w:val="1"/>
    <w:qFormat/>
    <w:uiPriority w:val="0"/>
    <w:pPr>
      <w:spacing w:line="500" w:lineRule="exact"/>
      <w:ind w:firstLine="560"/>
    </w:pPr>
    <w:rPr>
      <w:rFonts w:eastAsia="方正仿宋_GBK"/>
      <w:sz w:val="28"/>
    </w:rPr>
  </w:style>
  <w:style w:type="paragraph" w:customStyle="1" w:styleId="6">
    <w:name w:val="插入文本样式-插入职责分类绩效目标文件"/>
    <w:basedOn w:val="1"/>
    <w:qFormat/>
    <w:uiPriority w:val="0"/>
    <w:pPr>
      <w:spacing w:line="500" w:lineRule="exact"/>
      <w:ind w:firstLine="560"/>
    </w:pPr>
    <w:rPr>
      <w:rFonts w:eastAsia="方正仿宋_GBK"/>
      <w:sz w:val="28"/>
    </w:rPr>
  </w:style>
  <w:style w:type="paragraph" w:customStyle="1" w:styleId="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8">
    <w:name w:val="单元格样式4"/>
    <w:basedOn w:val="1"/>
    <w:qFormat/>
    <w:uiPriority w:val="0"/>
    <w:pPr>
      <w:jc w:val="right"/>
    </w:pPr>
    <w:rPr>
      <w:rFonts w:ascii="方正书宋_GBK" w:hAnsi="方正书宋_GBK" w:eastAsia="方正书宋_GBK" w:cs="方正书宋_GBK"/>
      <w:sz w:val="21"/>
    </w:rPr>
  </w:style>
  <w:style w:type="paragraph" w:customStyle="1" w:styleId="9">
    <w:name w:val="单元格样式5"/>
    <w:basedOn w:val="1"/>
    <w:qFormat/>
    <w:uiPriority w:val="0"/>
    <w:rPr>
      <w:rFonts w:ascii="方正书宋_GBK" w:hAnsi="方正书宋_GBK" w:eastAsia="方正书宋_GBK" w:cs="方正书宋_GBK"/>
      <w:b/>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3"/>
    <w:basedOn w:val="1"/>
    <w:qFormat/>
    <w:uiPriority w:val="0"/>
    <w:pPr>
      <w:jc w:val="center"/>
    </w:pPr>
    <w:rPr>
      <w:rFonts w:ascii="方正书宋_GBK" w:hAnsi="方正书宋_GBK" w:eastAsia="方正书宋_GBK" w:cs="方正书宋_GBK"/>
      <w:sz w:val="21"/>
    </w:rPr>
  </w:style>
  <w:style w:type="paragraph" w:customStyle="1" w:styleId="13">
    <w:name w:val="TOC 2"/>
    <w:basedOn w:val="1"/>
    <w:qFormat/>
    <w:uiPriority w:val="0"/>
    <w:pPr>
      <w:ind w:left="240"/>
    </w:pPr>
  </w:style>
  <w:style w:type="paragraph" w:customStyle="1" w:styleId="14">
    <w:name w:val="TOC 4"/>
    <w:basedOn w:val="1"/>
    <w:qFormat/>
    <w:uiPriority w:val="0"/>
    <w:pPr>
      <w:ind w:left="720"/>
    </w:pPr>
  </w:style>
  <w:style w:type="paragraph" w:customStyle="1" w:styleId="15">
    <w:name w:val="TOC 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2022-04-20T14:35:50Z</dcterms:created>
  <dcterms:modified xsi:type="dcterms:W3CDTF">2022-04-20T06:35:50Z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2022-04-20T14:35:49Z</dcterms:created>
  <dcterms:modified xsi:type="dcterms:W3CDTF">2022-04-20T06:35:49Z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2022-04-20T14:35:50Z</dcterms:created>
  <dcterms:modified xsi:type="dcterms:W3CDTF">2022-04-20T06:35:50Z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2022-04-20T14:35:49Z</dcterms:created>
  <dcterms:modified xsi:type="dcterms:W3CDTF">2022-04-20T06:35:49Z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133315-6530-4993-A4A5-D0A7AD08C630}">
  <ds:schemaRefs/>
</ds:datastoreItem>
</file>

<file path=customXml/itemProps3.xml><?xml version="1.0" encoding="utf-8"?>
<ds:datastoreItem xmlns:ds="http://schemas.openxmlformats.org/officeDocument/2006/customXml" ds:itemID="{9CECE978-5067-4C72-B7BD-C316B9DB0E81}">
  <ds:schemaRefs/>
</ds:datastoreItem>
</file>

<file path=customXml/itemProps4.xml><?xml version="1.0" encoding="utf-8"?>
<ds:datastoreItem xmlns:ds="http://schemas.openxmlformats.org/officeDocument/2006/customXml" ds:itemID="{6BD77F60-B1EB-454A-84C8-856EF435D46E}">
  <ds:schemaRefs/>
</ds:datastoreItem>
</file>

<file path=customXml/itemProps5.xml><?xml version="1.0" encoding="utf-8"?>
<ds:datastoreItem xmlns:ds="http://schemas.openxmlformats.org/officeDocument/2006/customXml" ds:itemID="{AF78064E-2B83-40AF-9425-00366D8FAD99}">
  <ds:schemaRefs/>
</ds:datastoreItem>
</file>

<file path=customXml/itemProps6.xml><?xml version="1.0" encoding="utf-8"?>
<ds:datastoreItem xmlns:ds="http://schemas.openxmlformats.org/officeDocument/2006/customXml" ds:itemID="{58D57C0A-A080-43B3-80FB-7CC0EA427F15}">
  <ds:schemaRefs/>
</ds:datastoreItem>
</file>

<file path=customXml/itemProps7.xml><?xml version="1.0" encoding="utf-8"?>
<ds:datastoreItem xmlns:ds="http://schemas.openxmlformats.org/officeDocument/2006/customXml" ds:itemID="{510CE6AA-AA39-4145-89D1-DA2A680518D1}">
  <ds:schemaRefs/>
</ds:datastoreItem>
</file>

<file path=customXml/itemProps8.xml><?xml version="1.0" encoding="utf-8"?>
<ds:datastoreItem xmlns:ds="http://schemas.openxmlformats.org/officeDocument/2006/customXml" ds:itemID="{70EF8269-367B-4288-A5D3-6EF8BD740E5F}">
  <ds:schemaRefs/>
</ds:datastoreItem>
</file>

<file path=customXml/itemProps9.xml><?xml version="1.0" encoding="utf-8"?>
<ds:datastoreItem xmlns:ds="http://schemas.openxmlformats.org/officeDocument/2006/customXml" ds:itemID="{BDD787B1-1280-4AE0-8189-0E8730CB7C34}">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540</Words>
  <Characters>3083</Characters>
  <Lines>25</Lines>
  <Paragraphs>7</Paragraphs>
  <TotalTime>1</TotalTime>
  <ScaleCrop>false</ScaleCrop>
  <LinksUpToDate>false</LinksUpToDate>
  <CharactersWithSpaces>3616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2022-04-20T14:35:00Z</dcterms:created>
  <dc:creator>Administrator</dc:creator>
  <cp:lastModifiedBy>Administrator</cp:lastModifiedBy>
  <dcterms:modified xsi:type="dcterms:W3CDTF">2022-05-31T08:54:34Z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F52FC19D2A17417BAC0423CE0AB4FCD4</vt:lpwstr>
  </property>
</Properties>
</file>