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怀来县气象部门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52"/>
          <w:lang w:val="en-US" w:eastAsia="zh-CN"/>
        </w:rPr>
        <w:t xml:space="preserve">   </w:t>
      </w: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怀来县气象部门编制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气象事务项目绩效目标表</w:t>
      </w:r>
      <w:r>
        <w:tab/>
      </w:r>
      <w:r>
        <w:fldChar w:fldCharType="begin"/>
      </w:r>
      <w:r>
        <w:instrText xml:space="preserve">PAGEREF _Toc_4_4_0000000004 \h</w:instrText>
      </w:r>
      <w:r>
        <w:fldChar w:fldCharType="separate"/>
      </w:r>
      <w:r>
        <w:t>3</w:t>
      </w:r>
      <w:r>
        <w:fldChar w:fldCharType="end"/>
      </w:r>
      <w:r>
        <w:fldChar w:fldCharType="end"/>
      </w:r>
    </w:p>
    <w:p>
      <w:r>
        <w:fldChar w:fldCharType="end"/>
      </w:r>
    </w:p>
    <w:p>
      <w:r>
        <w:br w:type="page"/>
      </w:r>
      <w:r>
        <w:br w:type="textWrapping"/>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气象灾害防御指挥部及气象灾害防御中心的日常运行，及时发布本行政区内天气预报、灾害性天气警报和其他气象信息的发布，发挥怀来县气象灾害防御指挥部办公室作用，负责全县气象突发重大事件应急体系的建设，为本级人民政府组织防御气象灾害提供决策依据，提供政府防灾减灾的决策服务。</w:t>
      </w:r>
    </w:p>
    <w:p>
      <w:pPr>
        <w:pStyle w:val="10"/>
      </w:pP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1.怀财字[2023]7号 气象事务项目绩效目标表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495001怀来县气象局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13073023P00003810005C</w:t>
            </w:r>
          </w:p>
        </w:tc>
        <w:tc>
          <w:tcPr>
            <w:tcW w:w="1587" w:type="dxa"/>
            <w:vAlign w:val="center"/>
          </w:tcPr>
          <w:p>
            <w:pPr>
              <w:pStyle w:val="14"/>
            </w:pPr>
            <w:r>
              <w:t>项目名称</w:t>
            </w:r>
          </w:p>
        </w:tc>
        <w:tc>
          <w:tcPr>
            <w:tcW w:w="4422" w:type="dxa"/>
            <w:gridSpan w:val="3"/>
            <w:vAlign w:val="center"/>
          </w:tcPr>
          <w:p>
            <w:pPr>
              <w:pStyle w:val="13"/>
            </w:pPr>
            <w:r>
              <w:t>怀财字[2023]7号 气象事务项目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w:t>
            </w:r>
          </w:p>
        </w:tc>
        <w:tc>
          <w:tcPr>
            <w:tcW w:w="1587" w:type="dxa"/>
            <w:vAlign w:val="center"/>
          </w:tcPr>
          <w:p>
            <w:pPr>
              <w:pStyle w:val="14"/>
            </w:pPr>
            <w:r>
              <w:t>其中：财政    资金</w:t>
            </w:r>
          </w:p>
        </w:tc>
        <w:tc>
          <w:tcPr>
            <w:tcW w:w="1304" w:type="dxa"/>
            <w:vAlign w:val="center"/>
          </w:tcPr>
          <w:p>
            <w:pPr>
              <w:pStyle w:val="13"/>
            </w:pPr>
            <w:r>
              <w:t>40.00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rPr>
                <w:rFonts w:hint="eastAsia"/>
                <w:lang w:val="en-US" w:eastAsia="zh-CN"/>
              </w:rPr>
              <w:t>资金主要用于</w:t>
            </w:r>
            <w:r>
              <w:t>做好区域自动气象站维修维护，保障仪器设备稳定运行</w:t>
            </w:r>
            <w:r>
              <w:rPr>
                <w:rFonts w:hint="eastAsia"/>
                <w:lang w:eastAsia="zh-CN"/>
              </w:rPr>
              <w:t>，</w:t>
            </w:r>
            <w:r>
              <w:t>做好预警接收设备系统的维护，开展气象防灾减灾培训和宣传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40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numPr>
                <w:ilvl w:val="0"/>
                <w:numId w:val="1"/>
              </w:numPr>
              <w:rPr>
                <w:rFonts w:hint="eastAsia"/>
                <w:lang w:val="en-US" w:eastAsia="zh-CN"/>
              </w:rPr>
            </w:pPr>
            <w:r>
              <w:t>做好预警接收设备系统的维护</w:t>
            </w:r>
          </w:p>
          <w:p>
            <w:pPr>
              <w:pStyle w:val="13"/>
              <w:numPr>
                <w:ilvl w:val="0"/>
                <w:numId w:val="1"/>
              </w:numPr>
            </w:pPr>
            <w:r>
              <w:t>开展气象防灾减灾培训和宣传，气象灾害防御指挥部和气象灾害防御中心在气象防灾减灾中起到组织、协调作用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598"/>
        <w:gridCol w:w="1280"/>
        <w:gridCol w:w="2460"/>
        <w:gridCol w:w="1000"/>
        <w:gridCol w:w="16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598" w:type="dxa"/>
            <w:vAlign w:val="center"/>
          </w:tcPr>
          <w:p>
            <w:pPr>
              <w:pStyle w:val="14"/>
            </w:pPr>
            <w:r>
              <w:t>二级指标</w:t>
            </w:r>
          </w:p>
        </w:tc>
        <w:tc>
          <w:tcPr>
            <w:tcW w:w="1280" w:type="dxa"/>
            <w:vAlign w:val="center"/>
          </w:tcPr>
          <w:p>
            <w:pPr>
              <w:pStyle w:val="14"/>
            </w:pPr>
            <w:r>
              <w:t>三级指标</w:t>
            </w:r>
          </w:p>
        </w:tc>
        <w:tc>
          <w:tcPr>
            <w:tcW w:w="2460" w:type="dxa"/>
            <w:vAlign w:val="center"/>
          </w:tcPr>
          <w:p>
            <w:pPr>
              <w:pStyle w:val="14"/>
            </w:pPr>
            <w:r>
              <w:t>绩效指标描述</w:t>
            </w:r>
          </w:p>
        </w:tc>
        <w:tc>
          <w:tcPr>
            <w:tcW w:w="1000" w:type="dxa"/>
            <w:vAlign w:val="center"/>
          </w:tcPr>
          <w:p>
            <w:pPr>
              <w:pStyle w:val="14"/>
            </w:pPr>
            <w:r>
              <w:t>指标值</w:t>
            </w:r>
          </w:p>
        </w:tc>
        <w:tc>
          <w:tcPr>
            <w:tcW w:w="162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8" w:hRule="atLeast"/>
          <w:jc w:val="center"/>
        </w:trPr>
        <w:tc>
          <w:tcPr>
            <w:tcW w:w="1327" w:type="dxa"/>
            <w:vMerge w:val="restart"/>
            <w:vAlign w:val="center"/>
          </w:tcPr>
          <w:p>
            <w:pPr>
              <w:pStyle w:val="15"/>
            </w:pPr>
            <w:r>
              <w:t>产出指标</w:t>
            </w:r>
          </w:p>
        </w:tc>
        <w:tc>
          <w:tcPr>
            <w:tcW w:w="1598" w:type="dxa"/>
            <w:vMerge w:val="restart"/>
            <w:vAlign w:val="center"/>
          </w:tcPr>
          <w:p>
            <w:pPr>
              <w:pStyle w:val="13"/>
            </w:pPr>
            <w:r>
              <w:t>数量指标</w:t>
            </w:r>
          </w:p>
        </w:tc>
        <w:tc>
          <w:tcPr>
            <w:tcW w:w="1280" w:type="dxa"/>
            <w:tcBorders>
              <w:bottom w:val="single" w:color="auto" w:sz="4" w:space="0"/>
            </w:tcBorders>
            <w:vAlign w:val="center"/>
          </w:tcPr>
          <w:p>
            <w:pPr>
              <w:pStyle w:val="13"/>
            </w:pPr>
            <w:r>
              <w:t>日常巡查次数</w:t>
            </w:r>
          </w:p>
        </w:tc>
        <w:tc>
          <w:tcPr>
            <w:tcW w:w="2460" w:type="dxa"/>
            <w:tcBorders>
              <w:bottom w:val="single" w:color="auto" w:sz="4" w:space="0"/>
            </w:tcBorders>
            <w:vAlign w:val="center"/>
          </w:tcPr>
          <w:p>
            <w:pPr>
              <w:pStyle w:val="13"/>
            </w:pPr>
            <w:r>
              <w:t>自动站日常巡查次数</w:t>
            </w:r>
          </w:p>
        </w:tc>
        <w:tc>
          <w:tcPr>
            <w:tcW w:w="1000" w:type="dxa"/>
            <w:tcBorders>
              <w:bottom w:val="single" w:color="auto" w:sz="4" w:space="0"/>
            </w:tcBorders>
            <w:vAlign w:val="center"/>
          </w:tcPr>
          <w:p>
            <w:pPr>
              <w:pStyle w:val="13"/>
            </w:pPr>
            <w:r>
              <w:t>≥30次</w:t>
            </w:r>
          </w:p>
        </w:tc>
        <w:tc>
          <w:tcPr>
            <w:tcW w:w="1624" w:type="dxa"/>
            <w:tcBorders>
              <w:bottom w:val="single" w:color="auto" w:sz="4" w:space="0"/>
            </w:tcBorders>
            <w:vAlign w:val="center"/>
          </w:tcPr>
          <w:p>
            <w:pPr>
              <w:pStyle w:val="13"/>
              <w:rPr>
                <w:rFonts w:hint="default" w:eastAsia="方正书宋_GBK"/>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jc w:val="center"/>
        </w:trPr>
        <w:tc>
          <w:tcPr>
            <w:tcW w:w="1327" w:type="dxa"/>
            <w:vMerge w:val="continue"/>
            <w:vAlign w:val="center"/>
          </w:tcPr>
          <w:p>
            <w:pPr>
              <w:pStyle w:val="15"/>
            </w:pPr>
          </w:p>
        </w:tc>
        <w:tc>
          <w:tcPr>
            <w:tcW w:w="1598" w:type="dxa"/>
            <w:vMerge w:val="continue"/>
            <w:vAlign w:val="center"/>
          </w:tcPr>
          <w:p>
            <w:pPr>
              <w:pStyle w:val="13"/>
            </w:pPr>
          </w:p>
        </w:tc>
        <w:tc>
          <w:tcPr>
            <w:tcW w:w="1280" w:type="dxa"/>
            <w:tcBorders>
              <w:top w:val="single" w:color="auto" w:sz="4" w:space="0"/>
            </w:tcBorders>
            <w:vAlign w:val="center"/>
          </w:tcPr>
          <w:p>
            <w:pPr>
              <w:pStyle w:val="13"/>
              <w:rPr>
                <w:rFonts w:hint="eastAsia" w:eastAsia="方正书宋_GBK"/>
                <w:lang w:val="en-US" w:eastAsia="zh-CN"/>
              </w:rPr>
            </w:pPr>
            <w:r>
              <w:t>培训和宣传</w:t>
            </w:r>
            <w:r>
              <w:rPr>
                <w:rFonts w:hint="eastAsia"/>
                <w:lang w:val="en-US" w:eastAsia="zh-CN"/>
              </w:rPr>
              <w:t>数量</w:t>
            </w:r>
          </w:p>
        </w:tc>
        <w:tc>
          <w:tcPr>
            <w:tcW w:w="2460" w:type="dxa"/>
            <w:tcBorders>
              <w:top w:val="single" w:color="auto" w:sz="4" w:space="0"/>
            </w:tcBorders>
            <w:vAlign w:val="center"/>
          </w:tcPr>
          <w:p>
            <w:pPr>
              <w:pStyle w:val="13"/>
              <w:rPr>
                <w:rFonts w:hint="default" w:eastAsia="方正书宋_GBK"/>
                <w:lang w:val="en-US" w:eastAsia="zh-CN"/>
              </w:rPr>
            </w:pPr>
            <w:r>
              <w:rPr>
                <w:rFonts w:hint="eastAsia"/>
                <w:lang w:val="en-US" w:eastAsia="zh-CN"/>
              </w:rPr>
              <w:t>对作业人员安全及各乡干部培训次数</w:t>
            </w:r>
          </w:p>
        </w:tc>
        <w:tc>
          <w:tcPr>
            <w:tcW w:w="1000" w:type="dxa"/>
            <w:tcBorders>
              <w:top w:val="single" w:color="auto" w:sz="4" w:space="0"/>
            </w:tcBorders>
            <w:vAlign w:val="center"/>
          </w:tcPr>
          <w:p>
            <w:pPr>
              <w:pStyle w:val="13"/>
            </w:pPr>
            <w:r>
              <w:t>≥</w:t>
            </w:r>
            <w:r>
              <w:rPr>
                <w:rFonts w:hint="eastAsia"/>
                <w:lang w:val="en-US" w:eastAsia="zh-CN"/>
              </w:rPr>
              <w:t>2</w:t>
            </w:r>
            <w:r>
              <w:t>次</w:t>
            </w:r>
          </w:p>
        </w:tc>
        <w:tc>
          <w:tcPr>
            <w:tcW w:w="1624" w:type="dxa"/>
            <w:tcBorders>
              <w:top w:val="single" w:color="auto" w:sz="4" w:space="0"/>
            </w:tcBorders>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1327" w:type="dxa"/>
            <w:vMerge w:val="continue"/>
            <w:vAlign w:val="center"/>
          </w:tcPr>
          <w:p/>
        </w:tc>
        <w:tc>
          <w:tcPr>
            <w:tcW w:w="1598" w:type="dxa"/>
            <w:vMerge w:val="restart"/>
            <w:vAlign w:val="center"/>
          </w:tcPr>
          <w:p>
            <w:pPr>
              <w:pStyle w:val="13"/>
            </w:pPr>
            <w:r>
              <w:t>质量指标</w:t>
            </w:r>
          </w:p>
        </w:tc>
        <w:tc>
          <w:tcPr>
            <w:tcW w:w="1280" w:type="dxa"/>
            <w:tcBorders>
              <w:bottom w:val="single" w:color="auto" w:sz="4" w:space="0"/>
            </w:tcBorders>
            <w:vAlign w:val="center"/>
          </w:tcPr>
          <w:p>
            <w:pPr>
              <w:pStyle w:val="13"/>
            </w:pPr>
            <w:r>
              <w:t>提供信息的准确率</w:t>
            </w:r>
          </w:p>
        </w:tc>
        <w:tc>
          <w:tcPr>
            <w:tcW w:w="2460" w:type="dxa"/>
            <w:tcBorders>
              <w:bottom w:val="single" w:color="auto" w:sz="4" w:space="0"/>
            </w:tcBorders>
            <w:vAlign w:val="center"/>
          </w:tcPr>
          <w:p>
            <w:pPr>
              <w:pStyle w:val="13"/>
            </w:pPr>
            <w:r>
              <w:t>提供气象信息的准确率</w:t>
            </w:r>
          </w:p>
        </w:tc>
        <w:tc>
          <w:tcPr>
            <w:tcW w:w="1000" w:type="dxa"/>
            <w:tcBorders>
              <w:bottom w:val="single" w:color="auto" w:sz="4" w:space="0"/>
            </w:tcBorders>
            <w:vAlign w:val="center"/>
          </w:tcPr>
          <w:p>
            <w:pPr>
              <w:pStyle w:val="13"/>
              <w:rPr>
                <w:rFonts w:hint="eastAsia" w:eastAsia="方正书宋_GBK"/>
                <w:lang w:eastAsia="zh-CN"/>
              </w:rPr>
            </w:pPr>
            <w:r>
              <w:t>≥90</w:t>
            </w:r>
            <w:r>
              <w:rPr>
                <w:rFonts w:hint="eastAsia"/>
                <w:lang w:val="en-US" w:eastAsia="zh-CN"/>
              </w:rPr>
              <w:t>%</w:t>
            </w:r>
          </w:p>
        </w:tc>
        <w:tc>
          <w:tcPr>
            <w:tcW w:w="1624" w:type="dxa"/>
            <w:tcBorders>
              <w:bottom w:val="single" w:color="auto" w:sz="4" w:space="0"/>
            </w:tcBorders>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1327" w:type="dxa"/>
            <w:vMerge w:val="continue"/>
            <w:vAlign w:val="center"/>
          </w:tcPr>
          <w:p/>
        </w:tc>
        <w:tc>
          <w:tcPr>
            <w:tcW w:w="1598" w:type="dxa"/>
            <w:vMerge w:val="continue"/>
            <w:vAlign w:val="center"/>
          </w:tcPr>
          <w:p>
            <w:pPr>
              <w:pStyle w:val="13"/>
            </w:pPr>
          </w:p>
        </w:tc>
        <w:tc>
          <w:tcPr>
            <w:tcW w:w="1280" w:type="dxa"/>
            <w:tcBorders>
              <w:top w:val="single" w:color="auto" w:sz="4" w:space="0"/>
              <w:bottom w:val="single" w:color="auto" w:sz="4" w:space="0"/>
            </w:tcBorders>
            <w:vAlign w:val="center"/>
          </w:tcPr>
          <w:p>
            <w:pPr>
              <w:pStyle w:val="13"/>
              <w:rPr>
                <w:rFonts w:hint="default" w:eastAsia="方正书宋_GBK"/>
                <w:lang w:val="en-US" w:eastAsia="zh-CN"/>
              </w:rPr>
            </w:pPr>
            <w:r>
              <w:rPr>
                <w:rFonts w:hint="eastAsia"/>
                <w:lang w:val="en-US" w:eastAsia="zh-CN"/>
              </w:rPr>
              <w:t>活动组织成效</w:t>
            </w:r>
          </w:p>
        </w:tc>
        <w:tc>
          <w:tcPr>
            <w:tcW w:w="2460" w:type="dxa"/>
            <w:tcBorders>
              <w:top w:val="single" w:color="auto" w:sz="4" w:space="0"/>
              <w:bottom w:val="single" w:color="auto" w:sz="4" w:space="0"/>
            </w:tcBorders>
            <w:vAlign w:val="center"/>
          </w:tcPr>
          <w:p>
            <w:pPr>
              <w:pStyle w:val="13"/>
              <w:rPr>
                <w:rFonts w:hint="default" w:eastAsia="方正书宋_GBK"/>
                <w:lang w:val="en-US" w:eastAsia="zh-CN"/>
              </w:rPr>
            </w:pPr>
            <w:r>
              <w:rPr>
                <w:rFonts w:hint="eastAsia"/>
                <w:lang w:val="en-US" w:eastAsia="zh-CN"/>
              </w:rPr>
              <w:t>培训宣传对群众的有利影响</w:t>
            </w:r>
          </w:p>
        </w:tc>
        <w:tc>
          <w:tcPr>
            <w:tcW w:w="1000" w:type="dxa"/>
            <w:tcBorders>
              <w:top w:val="single" w:color="auto" w:sz="4" w:space="0"/>
              <w:bottom w:val="single" w:color="auto" w:sz="4" w:space="0"/>
            </w:tcBorders>
            <w:vAlign w:val="center"/>
          </w:tcPr>
          <w:p>
            <w:pPr>
              <w:pStyle w:val="13"/>
              <w:rPr>
                <w:rFonts w:hint="default" w:eastAsia="方正书宋_GBK"/>
                <w:lang w:val="en-US" w:eastAsia="zh-CN"/>
              </w:rPr>
            </w:pPr>
            <w:r>
              <w:rPr>
                <w:rFonts w:hint="eastAsia"/>
                <w:lang w:val="en-US" w:eastAsia="zh-CN"/>
              </w:rPr>
              <w:t>进一步提升</w:t>
            </w:r>
          </w:p>
        </w:tc>
        <w:tc>
          <w:tcPr>
            <w:tcW w:w="1624" w:type="dxa"/>
            <w:tcBorders>
              <w:top w:val="single" w:color="auto" w:sz="4" w:space="0"/>
              <w:bottom w:val="single" w:color="auto" w:sz="4" w:space="0"/>
            </w:tcBorders>
            <w:vAlign w:val="center"/>
          </w:tcPr>
          <w:p>
            <w:pPr>
              <w:pStyle w:val="13"/>
              <w:rPr>
                <w:rFonts w:hint="eastAsia"/>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 w:hRule="atLeast"/>
          <w:jc w:val="center"/>
        </w:trPr>
        <w:tc>
          <w:tcPr>
            <w:tcW w:w="1327" w:type="dxa"/>
            <w:vMerge w:val="continue"/>
            <w:vAlign w:val="center"/>
          </w:tcPr>
          <w:p/>
        </w:tc>
        <w:tc>
          <w:tcPr>
            <w:tcW w:w="1598" w:type="dxa"/>
            <w:vMerge w:val="continue"/>
            <w:vAlign w:val="center"/>
          </w:tcPr>
          <w:p>
            <w:pPr>
              <w:pStyle w:val="13"/>
            </w:pPr>
          </w:p>
        </w:tc>
        <w:tc>
          <w:tcPr>
            <w:tcW w:w="1280" w:type="dxa"/>
            <w:tcBorders>
              <w:top w:val="single" w:color="auto" w:sz="4" w:space="0"/>
            </w:tcBorders>
            <w:vAlign w:val="center"/>
          </w:tcPr>
          <w:p>
            <w:pPr>
              <w:pStyle w:val="13"/>
              <w:rPr>
                <w:rFonts w:hint="default"/>
                <w:lang w:val="en-US" w:eastAsia="zh-CN"/>
              </w:rPr>
            </w:pPr>
            <w:r>
              <w:rPr>
                <w:rFonts w:hint="eastAsia"/>
                <w:lang w:val="en-US" w:eastAsia="zh-CN"/>
              </w:rPr>
              <w:t>受训合格率</w:t>
            </w:r>
          </w:p>
        </w:tc>
        <w:tc>
          <w:tcPr>
            <w:tcW w:w="2460" w:type="dxa"/>
            <w:tcBorders>
              <w:top w:val="single" w:color="auto" w:sz="4" w:space="0"/>
            </w:tcBorders>
            <w:vAlign w:val="center"/>
          </w:tcPr>
          <w:p>
            <w:pPr>
              <w:pStyle w:val="13"/>
              <w:rPr>
                <w:rFonts w:hint="default"/>
                <w:lang w:val="en-US" w:eastAsia="zh-CN"/>
              </w:rPr>
            </w:pPr>
            <w:r>
              <w:rPr>
                <w:rFonts w:hint="eastAsia"/>
                <w:lang w:val="en-US" w:eastAsia="zh-CN"/>
              </w:rPr>
              <w:t>作业人员受训合格率，保证作业人员能力</w:t>
            </w:r>
          </w:p>
        </w:tc>
        <w:tc>
          <w:tcPr>
            <w:tcW w:w="1000" w:type="dxa"/>
            <w:tcBorders>
              <w:top w:val="single" w:color="auto" w:sz="4" w:space="0"/>
            </w:tcBorders>
            <w:vAlign w:val="center"/>
          </w:tcPr>
          <w:p>
            <w:pPr>
              <w:pStyle w:val="13"/>
              <w:rPr>
                <w:rFonts w:hint="default"/>
                <w:lang w:val="en-US" w:eastAsia="zh-CN"/>
              </w:rPr>
            </w:pPr>
            <w:r>
              <w:t>≥</w:t>
            </w:r>
            <w:r>
              <w:rPr>
                <w:rFonts w:hint="eastAsia"/>
                <w:lang w:val="en-US" w:eastAsia="zh-CN"/>
              </w:rPr>
              <w:t>90%</w:t>
            </w:r>
          </w:p>
        </w:tc>
        <w:tc>
          <w:tcPr>
            <w:tcW w:w="1624" w:type="dxa"/>
            <w:tcBorders>
              <w:top w:val="single" w:color="auto" w:sz="4" w:space="0"/>
            </w:tcBorders>
            <w:vAlign w:val="center"/>
          </w:tcPr>
          <w:p>
            <w:pPr>
              <w:pStyle w:val="13"/>
              <w:rPr>
                <w:rFonts w:hint="eastAsia"/>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598" w:type="dxa"/>
            <w:vAlign w:val="center"/>
          </w:tcPr>
          <w:p>
            <w:pPr>
              <w:pStyle w:val="13"/>
            </w:pPr>
            <w:r>
              <w:t>时效指标</w:t>
            </w:r>
          </w:p>
        </w:tc>
        <w:tc>
          <w:tcPr>
            <w:tcW w:w="1280" w:type="dxa"/>
            <w:vAlign w:val="center"/>
          </w:tcPr>
          <w:p>
            <w:pPr>
              <w:pStyle w:val="13"/>
              <w:rPr>
                <w:rFonts w:hint="default" w:eastAsia="方正书宋_GBK"/>
                <w:lang w:val="en-US" w:eastAsia="zh-CN"/>
              </w:rPr>
            </w:pPr>
            <w:r>
              <w:rPr>
                <w:rFonts w:hint="eastAsia"/>
                <w:lang w:val="en-US" w:eastAsia="zh-CN"/>
              </w:rPr>
              <w:t>完成时限</w:t>
            </w:r>
          </w:p>
        </w:tc>
        <w:tc>
          <w:tcPr>
            <w:tcW w:w="2460" w:type="dxa"/>
            <w:vAlign w:val="center"/>
          </w:tcPr>
          <w:p>
            <w:pPr>
              <w:pStyle w:val="13"/>
              <w:rPr>
                <w:rFonts w:hint="default" w:eastAsia="方正书宋_GBK"/>
                <w:lang w:val="en-US" w:eastAsia="zh-CN"/>
              </w:rPr>
            </w:pPr>
            <w:r>
              <w:rPr>
                <w:rFonts w:hint="eastAsia"/>
                <w:lang w:val="en-US" w:eastAsia="zh-CN"/>
              </w:rPr>
              <w:t>12个月内完成</w:t>
            </w:r>
          </w:p>
        </w:tc>
        <w:tc>
          <w:tcPr>
            <w:tcW w:w="1000"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624"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598" w:type="dxa"/>
            <w:vAlign w:val="center"/>
          </w:tcPr>
          <w:p>
            <w:pPr>
              <w:pStyle w:val="13"/>
            </w:pPr>
            <w:r>
              <w:t>成本指标</w:t>
            </w:r>
          </w:p>
        </w:tc>
        <w:tc>
          <w:tcPr>
            <w:tcW w:w="1280" w:type="dxa"/>
            <w:vAlign w:val="center"/>
          </w:tcPr>
          <w:p>
            <w:pPr>
              <w:pStyle w:val="13"/>
            </w:pPr>
            <w:r>
              <w:t>设备维修</w:t>
            </w:r>
            <w:r>
              <w:rPr>
                <w:rFonts w:hint="eastAsia"/>
                <w:lang w:eastAsia="zh-CN"/>
              </w:rPr>
              <w:t>、</w:t>
            </w:r>
            <w:r>
              <w:rPr>
                <w:rFonts w:hint="eastAsia"/>
                <w:lang w:val="en-US" w:eastAsia="zh-CN"/>
              </w:rPr>
              <w:t>培训、宣传</w:t>
            </w:r>
            <w:r>
              <w:t>成本</w:t>
            </w:r>
          </w:p>
        </w:tc>
        <w:tc>
          <w:tcPr>
            <w:tcW w:w="2460" w:type="dxa"/>
            <w:vAlign w:val="center"/>
          </w:tcPr>
          <w:p>
            <w:pPr>
              <w:pStyle w:val="13"/>
            </w:pPr>
            <w:r>
              <w:t>设备故障维修费不超过预算成本</w:t>
            </w:r>
          </w:p>
        </w:tc>
        <w:tc>
          <w:tcPr>
            <w:tcW w:w="1000" w:type="dxa"/>
            <w:vAlign w:val="center"/>
          </w:tcPr>
          <w:p>
            <w:pPr>
              <w:pStyle w:val="13"/>
            </w:pPr>
            <w:r>
              <w:t>≤</w:t>
            </w:r>
            <w:r>
              <w:rPr>
                <w:rFonts w:hint="eastAsia"/>
                <w:lang w:val="en-US" w:eastAsia="zh-CN"/>
              </w:rPr>
              <w:t>40</w:t>
            </w:r>
            <w:r>
              <w:t>万元</w:t>
            </w:r>
          </w:p>
        </w:tc>
        <w:tc>
          <w:tcPr>
            <w:tcW w:w="1624" w:type="dxa"/>
            <w:vAlign w:val="center"/>
          </w:tcPr>
          <w:p>
            <w:pPr>
              <w:pStyle w:val="13"/>
              <w:rPr>
                <w:rFonts w:hint="default" w:eastAsia="方正书宋_GBK"/>
                <w:lang w:val="en-US" w:eastAsia="zh-CN"/>
              </w:rPr>
            </w:pPr>
            <w:r>
              <w:rPr>
                <w:rFonts w:hint="eastAsia"/>
                <w:lang w:val="en-US" w:eastAsia="zh-CN"/>
              </w:rPr>
              <w:t>2023年度工作计划，2023年度预算测算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598" w:type="dxa"/>
            <w:vAlign w:val="center"/>
          </w:tcPr>
          <w:p>
            <w:pPr>
              <w:pStyle w:val="13"/>
            </w:pPr>
            <w:r>
              <w:t>社会效益指标</w:t>
            </w:r>
          </w:p>
        </w:tc>
        <w:tc>
          <w:tcPr>
            <w:tcW w:w="1280" w:type="dxa"/>
            <w:vAlign w:val="center"/>
          </w:tcPr>
          <w:p>
            <w:pPr>
              <w:pStyle w:val="13"/>
              <w:rPr>
                <w:rFonts w:hint="default" w:eastAsia="方正书宋_GBK"/>
                <w:lang w:val="en-US" w:eastAsia="zh-CN"/>
              </w:rPr>
            </w:pPr>
            <w:r>
              <w:rPr>
                <w:rFonts w:hint="eastAsia"/>
                <w:lang w:val="en-US" w:eastAsia="zh-CN"/>
              </w:rPr>
              <w:t>设备正常运行比率</w:t>
            </w:r>
          </w:p>
        </w:tc>
        <w:tc>
          <w:tcPr>
            <w:tcW w:w="2460" w:type="dxa"/>
            <w:vAlign w:val="center"/>
          </w:tcPr>
          <w:p>
            <w:pPr>
              <w:pStyle w:val="13"/>
            </w:pPr>
            <w:r>
              <w:rPr>
                <w:rFonts w:hint="eastAsia"/>
                <w:lang w:val="en-US" w:eastAsia="zh-CN"/>
              </w:rPr>
              <w:t>设备正常运行，</w:t>
            </w:r>
            <w:r>
              <w:t>提前预警，减轻气象灾害造成的损失，社会效益显著</w:t>
            </w:r>
          </w:p>
        </w:tc>
        <w:tc>
          <w:tcPr>
            <w:tcW w:w="1000" w:type="dxa"/>
            <w:vAlign w:val="center"/>
          </w:tcPr>
          <w:p>
            <w:pPr>
              <w:pStyle w:val="13"/>
              <w:rPr>
                <w:rFonts w:hint="default" w:eastAsia="方正书宋_GBK"/>
                <w:lang w:val="en-US" w:eastAsia="zh-CN"/>
              </w:rPr>
            </w:pPr>
            <w:r>
              <w:rPr>
                <w:rFonts w:hint="default" w:ascii="Arial" w:hAnsi="Arial" w:cs="Arial"/>
                <w:lang w:val="en-US" w:eastAsia="zh-CN"/>
              </w:rPr>
              <w:t>≥</w:t>
            </w:r>
            <w:r>
              <w:rPr>
                <w:rFonts w:hint="eastAsia"/>
                <w:lang w:val="en-US" w:eastAsia="zh-CN"/>
              </w:rPr>
              <w:t>90%</w:t>
            </w:r>
          </w:p>
        </w:tc>
        <w:tc>
          <w:tcPr>
            <w:tcW w:w="1624" w:type="dxa"/>
            <w:vAlign w:val="center"/>
          </w:tcPr>
          <w:p>
            <w:pPr>
              <w:pStyle w:val="13"/>
              <w:rPr>
                <w:rFonts w:hint="default"/>
                <w:lang w:val="en-US"/>
              </w:rPr>
            </w:pPr>
            <w:r>
              <w:rPr>
                <w:rFonts w:hint="eastAsia"/>
                <w:lang w:val="en-US"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598" w:type="dxa"/>
            <w:vAlign w:val="center"/>
          </w:tcPr>
          <w:p>
            <w:pPr>
              <w:pStyle w:val="13"/>
            </w:pPr>
            <w:r>
              <w:t>服务对象满意度指标</w:t>
            </w:r>
          </w:p>
        </w:tc>
        <w:tc>
          <w:tcPr>
            <w:tcW w:w="1280" w:type="dxa"/>
            <w:vAlign w:val="center"/>
          </w:tcPr>
          <w:p>
            <w:pPr>
              <w:pStyle w:val="13"/>
            </w:pPr>
            <w:r>
              <w:rPr>
                <w:rFonts w:hint="eastAsia"/>
                <w:lang w:val="en-US" w:eastAsia="zh-CN"/>
              </w:rPr>
              <w:t>群众</w:t>
            </w:r>
            <w:r>
              <w:t>满意度</w:t>
            </w:r>
          </w:p>
        </w:tc>
        <w:tc>
          <w:tcPr>
            <w:tcW w:w="2460" w:type="dxa"/>
            <w:vAlign w:val="center"/>
          </w:tcPr>
          <w:p>
            <w:pPr>
              <w:pStyle w:val="13"/>
            </w:pPr>
            <w:r>
              <w:rPr>
                <w:rFonts w:hint="eastAsia"/>
                <w:lang w:val="en-US" w:eastAsia="zh-CN"/>
              </w:rPr>
              <w:t>群众</w:t>
            </w:r>
            <w:r>
              <w:t>满意度</w:t>
            </w:r>
          </w:p>
        </w:tc>
        <w:tc>
          <w:tcPr>
            <w:tcW w:w="1000" w:type="dxa"/>
            <w:vAlign w:val="center"/>
          </w:tcPr>
          <w:p>
            <w:pPr>
              <w:pStyle w:val="13"/>
              <w:rPr>
                <w:rFonts w:hint="eastAsia" w:eastAsia="方正书宋_GBK"/>
                <w:lang w:eastAsia="zh-CN"/>
              </w:rPr>
            </w:pPr>
            <w:r>
              <w:t>≥80</w:t>
            </w:r>
            <w:r>
              <w:rPr>
                <w:rFonts w:hint="eastAsia"/>
                <w:lang w:val="en-US" w:eastAsia="zh-CN"/>
              </w:rPr>
              <w:t>%</w:t>
            </w:r>
          </w:p>
        </w:tc>
        <w:tc>
          <w:tcPr>
            <w:tcW w:w="1624" w:type="dxa"/>
            <w:vAlign w:val="center"/>
          </w:tcPr>
          <w:p>
            <w:pPr>
              <w:pStyle w:val="13"/>
              <w:rPr>
                <w:rFonts w:hint="default" w:eastAsia="方正书宋_GBK"/>
                <w:lang w:val="en-US" w:eastAsia="zh-CN"/>
              </w:rPr>
            </w:pPr>
            <w:r>
              <w:rPr>
                <w:rFonts w:hint="eastAsia"/>
                <w:lang w:val="en-US" w:eastAsia="zh-CN"/>
              </w:rPr>
              <w:t>调查问卷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2B6BB"/>
    <w:multiLevelType w:val="singleLevel"/>
    <w:tmpl w:val="66C2B6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NDJlNjUwZTJhYWMxYjkzOWFmN2Q1M2JhMDIxNDgifQ=="/>
  </w:docVars>
  <w:rsids>
    <w:rsidRoot w:val="00000000"/>
    <w:rsid w:val="22515875"/>
    <w:rsid w:val="227A6913"/>
    <w:rsid w:val="24A40948"/>
    <w:rsid w:val="2639008A"/>
    <w:rsid w:val="3313583F"/>
    <w:rsid w:val="4A680B43"/>
    <w:rsid w:val="4F695333"/>
    <w:rsid w:val="5C594F8F"/>
    <w:rsid w:val="5E1D0F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2023-03-15T09:02:21Z</dcterms:created>
  <dcterms:modified xsi:type="dcterms:W3CDTF">2023-03-15T01:02:21Z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2023-03-15T09:02:21Z</dcterms:created>
  <dcterms:modified xsi:type="dcterms:W3CDTF">2023-03-15T01:02:21Z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2023-03-15T09:02:21Z</dcterms:created>
  <dcterms:modified xsi:type="dcterms:W3CDTF">2023-03-15T01:02:21Z</dcterms:modified>
</cp:coreProperties>
</file>

<file path=customXml/itemProps1.xml><?xml version="1.0" encoding="utf-8"?>
<ds:datastoreItem xmlns:ds="http://schemas.openxmlformats.org/officeDocument/2006/customXml" ds:itemID="{5e3b3189-1d61-4d01-9483-30d091e1589f}">
  <ds:schemaRefs/>
</ds:datastoreItem>
</file>

<file path=customXml/itemProps2.xml><?xml version="1.0" encoding="utf-8"?>
<ds:datastoreItem xmlns:ds="http://schemas.openxmlformats.org/officeDocument/2006/customXml" ds:itemID="{aa8d453d-85f0-42e8-98f3-df395659e55f}">
  <ds:schemaRefs/>
</ds:datastoreItem>
</file>

<file path=customXml/itemProps3.xml><?xml version="1.0" encoding="utf-8"?>
<ds:datastoreItem xmlns:ds="http://schemas.openxmlformats.org/officeDocument/2006/customXml" ds:itemID="{096019f2-d4ed-448b-8c95-4495fcda2c78}">
  <ds:schemaRefs/>
</ds:datastoreItem>
</file>

<file path=customXml/itemProps4.xml><?xml version="1.0" encoding="utf-8"?>
<ds:datastoreItem xmlns:ds="http://schemas.openxmlformats.org/officeDocument/2006/customXml" ds:itemID="{08f2daac-984c-41eb-a540-4dc45fe25ba0}">
  <ds:schemaRefs/>
</ds:datastoreItem>
</file>

<file path=customXml/itemProps5.xml><?xml version="1.0" encoding="utf-8"?>
<ds:datastoreItem xmlns:ds="http://schemas.openxmlformats.org/officeDocument/2006/customXml" ds:itemID="{95385631-fcd9-4863-b7d3-5918ec1f63d3}">
  <ds:schemaRefs/>
</ds:datastoreItem>
</file>

<file path=customXml/itemProps6.xml><?xml version="1.0" encoding="utf-8"?>
<ds:datastoreItem xmlns:ds="http://schemas.openxmlformats.org/officeDocument/2006/customXml" ds:itemID="{2909b079-ab4c-4d80-af9b-6becee978d7d}">
  <ds:schemaRefs/>
</ds:datastoreItem>
</file>

<file path=docProps/app.xml><?xml version="1.0" encoding="utf-8"?>
<Properties xmlns="http://schemas.openxmlformats.org/officeDocument/2006/extended-properties" xmlns:vt="http://schemas.openxmlformats.org/officeDocument/2006/docPropsVTypes">
  <Pages>6</Pages>
  <Words>899</Words>
  <Characters>1000</Characters>
  <TotalTime>2</TotalTime>
  <ScaleCrop>false</ScaleCrop>
  <LinksUpToDate>false</LinksUpToDate>
  <CharactersWithSpaces>1050</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2023-03-15T09:02:00Z</dcterms:created>
  <dc:creator>admin</dc:creator>
  <cp:lastModifiedBy>Administrator</cp:lastModifiedBy>
  <dcterms:modified xsi:type="dcterms:W3CDTF">2023-04-23T01:20:20Z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2D77F8F88E384FF3860A0F153F79C3E4</vt:lpwstr>
  </property>
</Properties>
</file>