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怀来县官厅库区建设管理中心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2023年部门预算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怀来县官厅库区建设管理中心编制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26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rPr/>
          <w:t xml:space="preserve">一、怀来县官厅库区建设管理中心收支预算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28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根据《怀来县官厅库区建设管理中心职能配置、内设机构和人员编制规定》，怀来县官厅库区建设管理中心的主要职责是：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搞好官厅库区浸没区工程的勘测、设计并进行治理，同时做好水库周边塌岸治理和库区移民的塌岸赔偿工作；负责向上级反应官厅水库存在的生产、生活问题及浸没和塌岸问题，争取资金，使存在的问题尽快解决；帮助移民村发展生产，逐步改善移民村的生活条件；接待移民来信来访，答复处理所反映的问题，维护库区稳定；根据国家法令管理移民资金，使有限的财力发挥更大的作用；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9190.51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8690.61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2229.11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735.11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1494.00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6461.50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6461.50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499.90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499.90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499.90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9190.51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634.55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482.14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152.41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8555.96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73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87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27.80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27.80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27.80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27.80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8.41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8.41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100.40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100.40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rPr>
          <w:cantSplit/>
          <w:tblHeader/>
          <w:jc w:val="center"/>
        </w:trPr>
        <w:tc>
          <w:tcPr>
            <w:tcW w:w="73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313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7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621" w:type="dxa"/>
            <w:vMerge/>
          </w:tcPr>
          <w:p>
            <w:pPr/>
          </w:p>
        </w:tc>
        <w:tc>
          <w:tcPr>
            <w:tcW w:w="1032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8555.96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1594.56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6461.50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499.90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8555.96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1594.56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6461.50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499.90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1、怀财字[2023]7号 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100.56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100.56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2、冀财农[2021]122号  中央-大中型水库移民后期扶持资金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2130321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499.90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499.90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3、冀财农[2022]134号  中央-大中型水库移民后期扶持基金（基础设施建设和经济发展）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2082202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1597.00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1597.00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4、冀财农[2022]134号  中央-大中型水库移民后期扶持基金（移民补助）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2082201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5、冀财农[2022]135号  中央-大中型水库移民后期扶持资金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2130321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1494.00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1494.00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6、冀财农[2022]158号  省级水库移民后期扶持补助（基础设施建设和经济发展）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2082302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7、冀财农[2022]158号  省级水库移民后期扶持补助（移民补助）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2082301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794.52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794.52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9190.51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2229.11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6461.50</w:t>
            </w: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499.90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657.11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657.11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3620.90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1494.00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1627.00</w:t>
            </w: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499.90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4912.50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4834.50</w:t>
            </w: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67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771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2023年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非财政    拨款结    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3232.10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1605.10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1627.00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3232.10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怀来县官厅库区建设管理中心小计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3232.10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1605.10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1627.00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3232.10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投影仪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A02020200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轿车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A02030501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空调机组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A02052305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饮水器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视频会议系统及会议室音频系统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A02080805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IP 与多媒体通信设备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A02081300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通用摄像机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三人沙发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怀财字【2023】7号办案及业务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100.56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冀财农[2022]134号  中央-大中型水库移民后期扶持基金（基础设施建设和经济发展）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1597.00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其他建筑工程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1557.00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1557.00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1557.00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1557.00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冀财农[2022]134号  中央-大中型水库移民后期扶持基金（基础设施建设和经济发展）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1597.00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冀财农[2022]135号  中央-大中型水库移民后期扶持资金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1494.00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其他建筑工程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1494.00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1494.00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1494.00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1494.00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冀财农[2022]158号  省级水库移民后期扶持补助（基础设施建设和经济发展）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其他建筑工程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43"/>
        <w:gridCol w:w="1133"/>
        <w:gridCol w:w="1559"/>
        <w:gridCol w:w="2352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>
        <w:trPr>
          <w:trHeight w:val="227"/>
          <w:tblHeader/>
          <w:jc w:val="center"/>
        </w:trPr>
        <w:tc>
          <w:tcPr>
            <w:tcW w:w="100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车辆实有数</w:t>
            </w:r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12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30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2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27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财政性资金定额或定项补助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一、怀来县官厅库区建设管理中心收支预算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976001怀来县官厅库区建设管理中心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9190.51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8690.61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2229.11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735.11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1494.00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6461.50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6461.50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499.90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499.90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499.90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9190.51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634.55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482.14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152.41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8555.96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976001怀来县官厅库区建设管理中心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27.80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27.80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8.41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8.41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0.55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375.69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976001怀来县官厅库区建设管理中心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976001怀来县官厅库区建设管理中心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8555.96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1594.56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6461.50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499.90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冀财农[2022]158号  省级水库移民后期扶持补助（移民补助）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794.52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794.52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冀财农【2022】134号中央-大中型水库移民后期扶持基金（移民补助）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2082201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100.56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100.56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冀财农[2021]122号  中央-大中型水库移民后期扶持资金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2130321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499.90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499.90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冀财农[2022]134号  中央-大中型水库移民后期扶持基金（基础设施建设和经济发展）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2082202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1597.00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1597.00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冀财农[2022]135号  中央-大中型水库移民后期扶持资金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2130321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1494.00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1494.00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冀财农[2022]158号  省级水库移民后期扶持补助（基础设施建设和经济发展）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2082302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976001怀来县官厅库区建设管理中心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9190.51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2229.11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6461.50</w:t>
            </w: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499.90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657.11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657.11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3620.90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1494.00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1627.00</w:t>
            </w: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499.90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4912.50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78.00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4834.50</w:t>
            </w: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2023-03-15T13:40:58Z</dcterms:created>
  <dcterms:modified xsi:type="dcterms:W3CDTF">2023-03-15T05:40:57Z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2023-03-15T13:40:58Z</dcterms:created>
  <dcterms:modified xsi:type="dcterms:W3CDTF">2023-03-15T05:40:58Z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2023-03-15T13:41:01Z</dcterms:created>
  <dcterms:modified xsi:type="dcterms:W3CDTF">2023-03-15T05:41:01Z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2023-03-15T13:41:01Z</dcterms:created>
  <dcterms:modified xsi:type="dcterms:W3CDTF">2023-03-15T05:41:33Z</dcterms:modified>
</cp:coreProperties>
</file>