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highlight w:val="none"/>
          <w:lang w:val="en-US" w:eastAsia="zh-CN"/>
        </w:rPr>
        <w:t>2023年</w:t>
      </w:r>
      <w:r>
        <w:rPr>
          <w:rFonts w:hint="eastAsia" w:ascii="方正小标宋_GBK" w:hAnsi="方正小标宋_GBK" w:eastAsia="方正小标宋_GBK" w:cs="方正小标宋_GBK"/>
          <w:sz w:val="44"/>
          <w:szCs w:val="44"/>
          <w:lang w:val="en-US" w:eastAsia="zh-CN"/>
        </w:rPr>
        <w:t>怀来县预算公开有关事项的说明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县级财政性资金安排“三公”经费预算情况</w:t>
      </w:r>
    </w:p>
    <w:p>
      <w:pPr>
        <w:spacing w:line="560" w:lineRule="exact"/>
        <w:ind w:firstLine="632" w:firstLineChars="200"/>
        <w:rPr>
          <w:rFonts w:ascii="仿宋_GB2312" w:hAnsi="Verdana"/>
          <w:szCs w:val="32"/>
        </w:rPr>
      </w:pPr>
      <w:r>
        <w:rPr>
          <w:rFonts w:hint="eastAsia" w:ascii="仿宋_GB2312" w:hAnsi="Verdana"/>
          <w:szCs w:val="32"/>
        </w:rPr>
        <w:t>按照财政厅报告和公开口径，202</w:t>
      </w:r>
      <w:r>
        <w:rPr>
          <w:rFonts w:hint="eastAsia" w:ascii="仿宋_GB2312" w:hAnsi="Verdana"/>
          <w:szCs w:val="32"/>
          <w:lang w:val="en-US" w:eastAsia="zh-CN"/>
        </w:rPr>
        <w:t>3</w:t>
      </w:r>
      <w:r>
        <w:rPr>
          <w:rFonts w:hint="eastAsia" w:ascii="仿宋_GB2312" w:hAnsi="Verdana"/>
          <w:szCs w:val="32"/>
        </w:rPr>
        <w:t>年县级“三公”经费预算安排</w:t>
      </w:r>
      <w:r>
        <w:rPr>
          <w:rFonts w:hint="eastAsia" w:ascii="仿宋_GB2312" w:hAnsi="Verdana"/>
          <w:szCs w:val="32"/>
          <w:lang w:val="en-US" w:eastAsia="zh-CN"/>
        </w:rPr>
        <w:t>1445.9</w:t>
      </w:r>
      <w:r>
        <w:rPr>
          <w:rFonts w:hint="eastAsia" w:ascii="仿宋_GB2312" w:hAnsi="Verdana"/>
          <w:szCs w:val="32"/>
        </w:rPr>
        <w:t>万元，减少</w:t>
      </w:r>
      <w:r>
        <w:rPr>
          <w:rFonts w:hint="eastAsia" w:ascii="仿宋_GB2312" w:hAnsi="Verdana"/>
          <w:szCs w:val="32"/>
          <w:lang w:val="en-US" w:eastAsia="zh-CN"/>
        </w:rPr>
        <w:t>241.9</w:t>
      </w:r>
      <w:r>
        <w:rPr>
          <w:rFonts w:hint="eastAsia" w:ascii="仿宋_GB2312" w:hAnsi="Verdana"/>
          <w:szCs w:val="32"/>
        </w:rPr>
        <w:t>万元，下降</w:t>
      </w:r>
      <w:r>
        <w:rPr>
          <w:rFonts w:hint="eastAsia" w:ascii="仿宋_GB2312" w:hAnsi="Verdana"/>
          <w:szCs w:val="32"/>
          <w:lang w:val="en-US" w:eastAsia="zh-CN"/>
        </w:rPr>
        <w:t>14.3</w:t>
      </w:r>
      <w:r>
        <w:rPr>
          <w:rFonts w:hint="eastAsia" w:ascii="仿宋_GB2312" w:hAnsi="Verdana"/>
          <w:szCs w:val="32"/>
        </w:rPr>
        <w:t>%。其中：一般公共预算</w:t>
      </w:r>
      <w:r>
        <w:rPr>
          <w:rFonts w:hint="eastAsia" w:ascii="仿宋_GB2312" w:hAnsi="Verdana"/>
          <w:szCs w:val="32"/>
          <w:lang w:val="en-US" w:eastAsia="zh-CN"/>
        </w:rPr>
        <w:t>1445.9</w:t>
      </w:r>
      <w:r>
        <w:rPr>
          <w:rFonts w:hint="eastAsia" w:ascii="仿宋_GB2312" w:hAnsi="Verdana"/>
          <w:szCs w:val="32"/>
        </w:rPr>
        <w:t>万元，减少</w:t>
      </w:r>
      <w:r>
        <w:rPr>
          <w:rFonts w:hint="eastAsia" w:ascii="仿宋_GB2312" w:hAnsi="Verdana"/>
          <w:szCs w:val="32"/>
          <w:lang w:val="en-US" w:eastAsia="zh-CN"/>
        </w:rPr>
        <w:t>241.9</w:t>
      </w:r>
      <w:r>
        <w:rPr>
          <w:rFonts w:hint="eastAsia" w:ascii="仿宋_GB2312" w:hAnsi="Verdana"/>
          <w:szCs w:val="32"/>
        </w:rPr>
        <w:t>万元，下降</w:t>
      </w:r>
      <w:r>
        <w:rPr>
          <w:rFonts w:hint="eastAsia" w:ascii="仿宋_GB2312" w:hAnsi="Verdana"/>
          <w:szCs w:val="32"/>
          <w:lang w:val="en-US" w:eastAsia="zh-CN"/>
        </w:rPr>
        <w:t>14.3</w:t>
      </w:r>
      <w:r>
        <w:rPr>
          <w:rFonts w:hint="eastAsia" w:ascii="仿宋_GB2312" w:hAnsi="Verdana"/>
          <w:szCs w:val="32"/>
        </w:rPr>
        <w:t>%；政府性基金预算0万元，减少0万元。具体安排情况如下：</w:t>
      </w:r>
    </w:p>
    <w:p>
      <w:pPr>
        <w:spacing w:line="56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（一）因公出国（境）费。</w:t>
      </w:r>
      <w:r>
        <w:rPr>
          <w:rFonts w:hint="eastAsia" w:ascii="仿宋_GB2312" w:hAnsi="Verdana"/>
          <w:szCs w:val="32"/>
        </w:rPr>
        <w:t>因公出国（境）支出预算30万元，（其中：一般公共预算30万元）增加30万（主要是受疫情影响，202</w:t>
      </w:r>
      <w:r>
        <w:rPr>
          <w:rFonts w:hint="eastAsia" w:ascii="仿宋_GB2312" w:hAnsi="Verdana"/>
          <w:szCs w:val="32"/>
          <w:lang w:val="en-US" w:eastAsia="zh-CN"/>
        </w:rPr>
        <w:t>2</w:t>
      </w:r>
      <w:r>
        <w:rPr>
          <w:rFonts w:hint="eastAsia" w:ascii="仿宋_GB2312" w:hAnsi="Verdana"/>
          <w:szCs w:val="32"/>
        </w:rPr>
        <w:t>年出国经费为0）。</w:t>
      </w:r>
    </w:p>
    <w:p>
      <w:pPr>
        <w:spacing w:line="560" w:lineRule="exact"/>
        <w:ind w:firstLine="632" w:firstLineChars="200"/>
        <w:rPr>
          <w:rFonts w:ascii="仿宋_GB2312" w:hAnsi="Verdana"/>
          <w:color w:val="auto"/>
          <w:szCs w:val="32"/>
        </w:rPr>
      </w:pPr>
      <w:r>
        <w:rPr>
          <w:rFonts w:hint="eastAsia" w:ascii="楷体_GB2312" w:hAnsi="楷体_GB2312" w:eastAsia="楷体_GB2312" w:cs="楷体_GB2312"/>
          <w:szCs w:val="32"/>
        </w:rPr>
        <w:t>（二）公务用车购置及运行费。</w:t>
      </w:r>
      <w:r>
        <w:rPr>
          <w:rFonts w:hint="eastAsia" w:ascii="仿宋_GB2312" w:hAnsi="仿宋_GB2312" w:cs="仿宋_GB2312"/>
          <w:szCs w:val="32"/>
        </w:rPr>
        <w:t>安排</w:t>
      </w:r>
      <w:r>
        <w:rPr>
          <w:rFonts w:hint="eastAsia" w:ascii="仿宋_GB2312" w:hAnsi="仿宋_GB2312" w:cs="仿宋_GB2312"/>
          <w:szCs w:val="32"/>
          <w:lang w:val="en-US" w:eastAsia="zh-CN"/>
        </w:rPr>
        <w:t>608</w:t>
      </w:r>
      <w:r>
        <w:rPr>
          <w:rFonts w:hint="eastAsia" w:ascii="仿宋_GB2312" w:hAnsi="仿宋_GB2312" w:cs="仿宋_GB2312"/>
          <w:szCs w:val="32"/>
        </w:rPr>
        <w:t>万元，减少</w:t>
      </w:r>
      <w:r>
        <w:rPr>
          <w:rFonts w:hint="eastAsia" w:ascii="仿宋_GB2312" w:hAnsi="仿宋_GB2312" w:cs="仿宋_GB2312"/>
          <w:szCs w:val="32"/>
          <w:lang w:val="en-US" w:eastAsia="zh-CN"/>
        </w:rPr>
        <w:t>183.3</w:t>
      </w:r>
      <w:r>
        <w:rPr>
          <w:rFonts w:hint="eastAsia" w:ascii="仿宋_GB2312" w:hAnsi="仿宋_GB2312" w:cs="仿宋_GB2312"/>
          <w:szCs w:val="32"/>
        </w:rPr>
        <w:t>万元，下降</w:t>
      </w:r>
      <w:r>
        <w:rPr>
          <w:rFonts w:hint="eastAsia" w:ascii="仿宋_GB2312" w:hAnsi="仿宋_GB2312" w:cs="仿宋_GB2312"/>
          <w:szCs w:val="32"/>
          <w:lang w:val="en-US" w:eastAsia="zh-CN"/>
        </w:rPr>
        <w:t>23.2%</w:t>
      </w:r>
      <w:r>
        <w:rPr>
          <w:rFonts w:hint="eastAsia" w:ascii="仿宋_GB2312" w:hAnsi="仿宋_GB2312" w:cs="仿宋_GB2312"/>
          <w:szCs w:val="32"/>
        </w:rPr>
        <w:t>。</w:t>
      </w:r>
      <w:r>
        <w:rPr>
          <w:rFonts w:hint="eastAsia" w:ascii="仿宋_GB2312" w:hAnsi="Verdana"/>
          <w:szCs w:val="32"/>
        </w:rPr>
        <w:t>其中：公务用车购置费</w:t>
      </w:r>
      <w:r>
        <w:rPr>
          <w:rFonts w:hint="eastAsia" w:ascii="仿宋_GB2312" w:hAnsi="Verdana"/>
          <w:szCs w:val="32"/>
          <w:lang w:val="en-US" w:eastAsia="zh-CN"/>
        </w:rPr>
        <w:t>126</w:t>
      </w:r>
      <w:r>
        <w:rPr>
          <w:rFonts w:hint="eastAsia" w:ascii="仿宋_GB2312" w:hAnsi="Verdana"/>
          <w:szCs w:val="32"/>
        </w:rPr>
        <w:t>万元，比上年预算</w:t>
      </w:r>
      <w:r>
        <w:rPr>
          <w:rFonts w:hint="eastAsia" w:ascii="仿宋_GB2312" w:hAnsi="Verdana"/>
          <w:szCs w:val="32"/>
          <w:lang w:val="en-US" w:eastAsia="zh-CN"/>
        </w:rPr>
        <w:t>减少131</w:t>
      </w:r>
      <w:r>
        <w:rPr>
          <w:rFonts w:hint="eastAsia" w:ascii="仿宋_GB2312" w:hAnsi="Verdana"/>
          <w:szCs w:val="32"/>
        </w:rPr>
        <w:t>万元，</w:t>
      </w:r>
      <w:r>
        <w:rPr>
          <w:rFonts w:hint="eastAsia" w:ascii="仿宋_GB2312" w:hAnsi="Verdana"/>
          <w:szCs w:val="32"/>
          <w:lang w:eastAsia="zh-CN"/>
        </w:rPr>
        <w:t>下降</w:t>
      </w:r>
      <w:r>
        <w:rPr>
          <w:rFonts w:hint="eastAsia" w:ascii="仿宋_GB2312" w:hAnsi="Verdana"/>
          <w:szCs w:val="32"/>
          <w:lang w:val="en-US" w:eastAsia="zh-CN"/>
        </w:rPr>
        <w:t>16.6</w:t>
      </w:r>
      <w:r>
        <w:rPr>
          <w:rFonts w:hint="eastAsia" w:ascii="仿宋_GB2312" w:hAnsi="Verdana"/>
          <w:szCs w:val="32"/>
        </w:rPr>
        <w:t>%，公务用车运行维护费</w:t>
      </w:r>
      <w:r>
        <w:rPr>
          <w:rFonts w:hint="eastAsia" w:ascii="仿宋_GB2312" w:hAnsi="Verdana"/>
          <w:szCs w:val="32"/>
          <w:lang w:val="en-US" w:eastAsia="zh-CN"/>
        </w:rPr>
        <w:t>482</w:t>
      </w:r>
      <w:r>
        <w:rPr>
          <w:rFonts w:hint="eastAsia" w:ascii="仿宋_GB2312" w:hAnsi="Verdana"/>
          <w:szCs w:val="32"/>
        </w:rPr>
        <w:t>万元,比上年预算减少</w:t>
      </w:r>
      <w:r>
        <w:rPr>
          <w:rFonts w:hint="eastAsia" w:ascii="仿宋_GB2312" w:hAnsi="Verdana"/>
          <w:szCs w:val="32"/>
          <w:lang w:val="en-US" w:eastAsia="zh-CN"/>
        </w:rPr>
        <w:t>52.3</w:t>
      </w:r>
      <w:r>
        <w:rPr>
          <w:rFonts w:hint="eastAsia" w:ascii="仿宋_GB2312" w:hAnsi="Verdana"/>
          <w:szCs w:val="32"/>
        </w:rPr>
        <w:t>万元，下降</w:t>
      </w:r>
      <w:r>
        <w:rPr>
          <w:rFonts w:hint="eastAsia" w:ascii="仿宋_GB2312" w:hAnsi="Verdana"/>
          <w:color w:val="auto"/>
          <w:szCs w:val="32"/>
          <w:lang w:val="en-US" w:eastAsia="zh-CN"/>
        </w:rPr>
        <w:t>9.8</w:t>
      </w:r>
      <w:r>
        <w:rPr>
          <w:rFonts w:hint="eastAsia" w:ascii="仿宋_GB2312" w:hAnsi="Verdana"/>
          <w:color w:val="auto"/>
          <w:szCs w:val="32"/>
        </w:rPr>
        <w:t>%。</w:t>
      </w:r>
    </w:p>
    <w:p>
      <w:pPr>
        <w:spacing w:line="560" w:lineRule="exact"/>
        <w:ind w:firstLine="632" w:firstLineChars="200"/>
        <w:rPr>
          <w:rFonts w:ascii="仿宋_GB2312" w:hAnsi="Verdana"/>
          <w:szCs w:val="32"/>
        </w:rPr>
      </w:pPr>
      <w:r>
        <w:rPr>
          <w:rFonts w:hint="eastAsia" w:ascii="楷体_GB2312" w:hAnsi="楷体_GB2312" w:eastAsia="楷体_GB2312" w:cs="楷体_GB2312"/>
          <w:szCs w:val="32"/>
        </w:rPr>
        <w:t>（三）公务接待费。</w:t>
      </w:r>
      <w:r>
        <w:rPr>
          <w:rFonts w:hint="eastAsia" w:ascii="仿宋_GB2312" w:hAnsi="Verdana"/>
          <w:szCs w:val="32"/>
        </w:rPr>
        <w:t>安排</w:t>
      </w:r>
      <w:r>
        <w:rPr>
          <w:rFonts w:hint="eastAsia" w:ascii="仿宋_GB2312" w:hAnsi="Verdana"/>
          <w:szCs w:val="32"/>
          <w:lang w:val="en-US" w:eastAsia="zh-CN"/>
        </w:rPr>
        <w:t>807.9</w:t>
      </w:r>
      <w:r>
        <w:rPr>
          <w:rFonts w:hint="eastAsia" w:ascii="仿宋_GB2312" w:hAnsi="Verdana"/>
          <w:szCs w:val="32"/>
        </w:rPr>
        <w:t>万元，比上年预算减少</w:t>
      </w:r>
      <w:r>
        <w:rPr>
          <w:rFonts w:hint="eastAsia" w:ascii="仿宋_GB2312" w:hAnsi="Verdana"/>
          <w:szCs w:val="32"/>
          <w:lang w:val="en-US" w:eastAsia="zh-CN"/>
        </w:rPr>
        <w:t>58.6</w:t>
      </w:r>
      <w:r>
        <w:rPr>
          <w:rFonts w:hint="eastAsia" w:ascii="仿宋_GB2312" w:hAnsi="Verdana"/>
          <w:szCs w:val="32"/>
        </w:rPr>
        <w:t>万元，下降</w:t>
      </w:r>
      <w:r>
        <w:rPr>
          <w:rFonts w:hint="eastAsia" w:ascii="仿宋_GB2312" w:hAnsi="Verdana"/>
          <w:szCs w:val="32"/>
          <w:lang w:val="en-US" w:eastAsia="zh-CN"/>
        </w:rPr>
        <w:t>6.8</w:t>
      </w:r>
      <w:r>
        <w:rPr>
          <w:rFonts w:hint="eastAsia" w:ascii="仿宋_GB2312" w:hAnsi="Verdana"/>
          <w:szCs w:val="32"/>
        </w:rPr>
        <w:t>%。（主要是落实中央八项规定，进一步落实厉行节俭各项措施，严格控制三公经费支出）。</w:t>
      </w:r>
    </w:p>
    <w:p>
      <w:pPr>
        <w:rPr>
          <w:rFonts w:hint="eastAsia" w:ascii="黑体" w:hAnsi="黑体" w:eastAsia="黑体" w:cs="黑体"/>
          <w:color w:val="auto"/>
          <w:sz w:val="36"/>
          <w:szCs w:val="36"/>
        </w:rPr>
      </w:pPr>
      <w:r>
        <w:rPr>
          <w:rFonts w:hint="eastAsia" w:ascii="黑体" w:hAnsi="黑体" w:eastAsia="黑体" w:cs="黑体"/>
          <w:color w:val="auto"/>
          <w:sz w:val="36"/>
          <w:szCs w:val="36"/>
        </w:rPr>
        <w:br w:type="page"/>
      </w:r>
    </w:p>
    <w:p>
      <w:pPr>
        <w:spacing w:line="560" w:lineRule="exact"/>
        <w:jc w:val="left"/>
        <w:rPr>
          <w:rFonts w:ascii="黑体" w:hAnsi="黑体" w:eastAsia="黑体" w:cs="黑体"/>
          <w:color w:val="auto"/>
          <w:sz w:val="36"/>
          <w:szCs w:val="36"/>
        </w:rPr>
      </w:pPr>
      <w:r>
        <w:rPr>
          <w:rFonts w:hint="eastAsia" w:ascii="黑体" w:hAnsi="黑体" w:eastAsia="黑体" w:cs="黑体"/>
          <w:color w:val="auto"/>
          <w:sz w:val="36"/>
          <w:szCs w:val="36"/>
        </w:rPr>
        <w:t>二、202</w:t>
      </w:r>
      <w:r>
        <w:rPr>
          <w:rFonts w:hint="eastAsia" w:ascii="黑体" w:hAnsi="黑体" w:eastAsia="黑体" w:cs="黑体"/>
          <w:color w:val="auto"/>
          <w:sz w:val="36"/>
          <w:szCs w:val="36"/>
          <w:lang w:val="en-US" w:eastAsia="zh-CN"/>
        </w:rPr>
        <w:t>2</w:t>
      </w:r>
      <w:r>
        <w:rPr>
          <w:rFonts w:hint="eastAsia" w:ascii="黑体" w:hAnsi="黑体" w:eastAsia="黑体" w:cs="黑体"/>
          <w:color w:val="auto"/>
          <w:sz w:val="36"/>
          <w:szCs w:val="36"/>
        </w:rPr>
        <w:t>政府债务情况及202</w:t>
      </w:r>
      <w:r>
        <w:rPr>
          <w:rFonts w:hint="eastAsia" w:ascii="黑体" w:hAnsi="黑体" w:eastAsia="黑体" w:cs="黑体"/>
          <w:color w:val="auto"/>
          <w:sz w:val="36"/>
          <w:szCs w:val="36"/>
          <w:lang w:val="en-US" w:eastAsia="zh-CN"/>
        </w:rPr>
        <w:t>3</w:t>
      </w:r>
      <w:r>
        <w:rPr>
          <w:rFonts w:hint="eastAsia" w:ascii="黑体" w:hAnsi="黑体" w:eastAsia="黑体" w:cs="黑体"/>
          <w:color w:val="auto"/>
          <w:sz w:val="36"/>
          <w:szCs w:val="36"/>
        </w:rPr>
        <w:t>年债务预算情况说明</w:t>
      </w:r>
    </w:p>
    <w:p>
      <w:pPr>
        <w:spacing w:line="560" w:lineRule="exact"/>
        <w:ind w:firstLine="632" w:firstLineChars="200"/>
        <w:rPr>
          <w:rFonts w:hint="eastAsia" w:ascii="仿宋_GB2312" w:hAnsi="Verdana"/>
          <w:szCs w:val="32"/>
        </w:rPr>
      </w:pPr>
      <w:r>
        <w:rPr>
          <w:rFonts w:hint="eastAsia" w:ascii="仿宋_GB2312" w:hAnsi="Verdana"/>
          <w:szCs w:val="32"/>
        </w:rPr>
        <w:t>（一）202</w:t>
      </w:r>
      <w:r>
        <w:rPr>
          <w:rFonts w:hint="eastAsia" w:ascii="仿宋_GB2312" w:hAnsi="Verdana"/>
          <w:szCs w:val="32"/>
          <w:lang w:val="en-US" w:eastAsia="zh-CN"/>
        </w:rPr>
        <w:t>2</w:t>
      </w:r>
      <w:r>
        <w:rPr>
          <w:rFonts w:hint="eastAsia" w:ascii="仿宋_GB2312" w:hAnsi="Verdana"/>
          <w:szCs w:val="32"/>
        </w:rPr>
        <w:t>年政府债务管理情况</w:t>
      </w:r>
    </w:p>
    <w:p>
      <w:pPr>
        <w:spacing w:line="560" w:lineRule="exact"/>
        <w:ind w:firstLine="632" w:firstLineChars="200"/>
        <w:rPr>
          <w:rFonts w:hint="eastAsia" w:ascii="仿宋_GB2312" w:hAnsi="Verdana"/>
          <w:szCs w:val="32"/>
        </w:rPr>
      </w:pPr>
      <w:r>
        <w:rPr>
          <w:rFonts w:hint="eastAsia" w:ascii="仿宋_GB2312" w:hAnsi="Verdana"/>
          <w:szCs w:val="32"/>
        </w:rPr>
        <w:t>截至202</w:t>
      </w:r>
      <w:r>
        <w:rPr>
          <w:rFonts w:hint="eastAsia" w:ascii="仿宋_GB2312" w:hAnsi="Verdana"/>
          <w:szCs w:val="32"/>
          <w:lang w:val="en-US" w:eastAsia="zh-CN"/>
        </w:rPr>
        <w:t>2</w:t>
      </w:r>
      <w:r>
        <w:rPr>
          <w:rFonts w:hint="eastAsia" w:ascii="仿宋_GB2312" w:hAnsi="Verdana"/>
          <w:szCs w:val="32"/>
        </w:rPr>
        <w:t>年底，我县地方政府债</w:t>
      </w:r>
      <w:r>
        <w:rPr>
          <w:rFonts w:hint="eastAsia" w:ascii="仿宋_GB2312" w:hAnsi="Verdana"/>
          <w:szCs w:val="32"/>
          <w:lang w:eastAsia="zh-CN"/>
        </w:rPr>
        <w:t>务</w:t>
      </w:r>
      <w:r>
        <w:rPr>
          <w:rFonts w:hint="eastAsia" w:ascii="仿宋_GB2312" w:hAnsi="Verdana"/>
          <w:szCs w:val="32"/>
        </w:rPr>
        <w:t>余额为</w:t>
      </w:r>
      <w:r>
        <w:rPr>
          <w:rFonts w:hint="eastAsia" w:ascii="仿宋_GB2312" w:hAnsi="Verdana"/>
          <w:szCs w:val="32"/>
          <w:lang w:val="en-US" w:eastAsia="zh-CN"/>
        </w:rPr>
        <w:t>74.18</w:t>
      </w:r>
      <w:r>
        <w:rPr>
          <w:rFonts w:hint="eastAsia" w:ascii="仿宋_GB2312" w:hAnsi="Verdana"/>
          <w:szCs w:val="32"/>
        </w:rPr>
        <w:t>亿元。其中一般债</w:t>
      </w:r>
      <w:r>
        <w:rPr>
          <w:rFonts w:hint="eastAsia" w:ascii="仿宋_GB2312" w:hAnsi="Verdana"/>
          <w:szCs w:val="32"/>
          <w:lang w:eastAsia="zh-CN"/>
        </w:rPr>
        <w:t>务</w:t>
      </w:r>
      <w:r>
        <w:rPr>
          <w:rFonts w:hint="eastAsia" w:ascii="仿宋_GB2312" w:hAnsi="Verdana"/>
          <w:szCs w:val="32"/>
          <w:lang w:val="en-US" w:eastAsia="zh-CN"/>
        </w:rPr>
        <w:t>20.61</w:t>
      </w:r>
      <w:r>
        <w:rPr>
          <w:rFonts w:hint="eastAsia" w:ascii="仿宋_GB2312" w:hAnsi="Verdana"/>
          <w:szCs w:val="32"/>
        </w:rPr>
        <w:t>亿元，专项债</w:t>
      </w:r>
      <w:r>
        <w:rPr>
          <w:rFonts w:hint="eastAsia" w:ascii="仿宋_GB2312" w:hAnsi="Verdana"/>
          <w:szCs w:val="32"/>
          <w:lang w:eastAsia="zh-CN"/>
        </w:rPr>
        <w:t>务</w:t>
      </w:r>
      <w:r>
        <w:rPr>
          <w:rFonts w:hint="eastAsia" w:ascii="仿宋_GB2312" w:hAnsi="Verdana"/>
          <w:szCs w:val="32"/>
          <w:lang w:val="en-US" w:eastAsia="zh-CN"/>
        </w:rPr>
        <w:t>53.57</w:t>
      </w:r>
      <w:r>
        <w:rPr>
          <w:rFonts w:hint="eastAsia" w:ascii="仿宋_GB2312" w:hAnsi="Verdana"/>
          <w:szCs w:val="32"/>
        </w:rPr>
        <w:t>亿元。</w:t>
      </w:r>
    </w:p>
    <w:p>
      <w:pPr>
        <w:spacing w:line="560" w:lineRule="exact"/>
        <w:ind w:firstLine="632" w:firstLineChars="200"/>
        <w:rPr>
          <w:rFonts w:hint="eastAsia" w:ascii="仿宋_GB2312" w:hAnsi="Verdana"/>
          <w:szCs w:val="32"/>
        </w:rPr>
      </w:pPr>
      <w:r>
        <w:rPr>
          <w:rFonts w:hint="eastAsia" w:ascii="仿宋_GB2312" w:hAnsi="Verdana"/>
          <w:szCs w:val="32"/>
        </w:rPr>
        <w:t>1.当年收支情况</w:t>
      </w:r>
    </w:p>
    <w:p>
      <w:pPr>
        <w:spacing w:line="560" w:lineRule="exact"/>
        <w:ind w:firstLine="632" w:firstLineChars="200"/>
        <w:rPr>
          <w:rFonts w:hint="eastAsia" w:ascii="仿宋_GB2312" w:hAnsi="Verdana"/>
          <w:szCs w:val="32"/>
        </w:rPr>
      </w:pPr>
      <w:r>
        <w:rPr>
          <w:rFonts w:hint="eastAsia" w:ascii="仿宋_GB2312" w:hAnsi="Verdana"/>
          <w:szCs w:val="32"/>
        </w:rPr>
        <w:t>202</w:t>
      </w:r>
      <w:r>
        <w:rPr>
          <w:rFonts w:hint="eastAsia" w:ascii="仿宋_GB2312" w:hAnsi="Verdana"/>
          <w:szCs w:val="32"/>
          <w:lang w:val="en-US" w:eastAsia="zh-CN"/>
        </w:rPr>
        <w:t>2</w:t>
      </w:r>
      <w:r>
        <w:rPr>
          <w:rFonts w:hint="eastAsia" w:ascii="仿宋_GB2312" w:hAnsi="Verdana"/>
          <w:szCs w:val="32"/>
        </w:rPr>
        <w:t>年共发行政府新增债</w:t>
      </w:r>
      <w:r>
        <w:rPr>
          <w:rFonts w:hint="eastAsia" w:ascii="仿宋_GB2312" w:hAnsi="Verdana"/>
          <w:szCs w:val="32"/>
          <w:lang w:eastAsia="zh-CN"/>
        </w:rPr>
        <w:t>券</w:t>
      </w:r>
      <w:r>
        <w:rPr>
          <w:rFonts w:hint="eastAsia" w:ascii="仿宋_GB2312" w:hAnsi="Verdana"/>
          <w:szCs w:val="32"/>
          <w:lang w:val="en-US" w:eastAsia="zh-CN"/>
        </w:rPr>
        <w:t>23.98</w:t>
      </w:r>
      <w:r>
        <w:rPr>
          <w:rFonts w:hint="eastAsia" w:ascii="仿宋_GB2312" w:hAnsi="Verdana"/>
          <w:szCs w:val="32"/>
        </w:rPr>
        <w:t>亿元，其中一般债</w:t>
      </w:r>
      <w:r>
        <w:rPr>
          <w:rFonts w:hint="eastAsia" w:ascii="仿宋_GB2312" w:hAnsi="Verdana"/>
          <w:szCs w:val="32"/>
          <w:lang w:eastAsia="zh-CN"/>
        </w:rPr>
        <w:t>券</w:t>
      </w:r>
      <w:r>
        <w:rPr>
          <w:rFonts w:hint="eastAsia" w:ascii="仿宋_GB2312" w:hAnsi="Verdana"/>
          <w:szCs w:val="32"/>
          <w:lang w:val="en-US" w:eastAsia="zh-CN"/>
        </w:rPr>
        <w:t>1.66</w:t>
      </w:r>
      <w:r>
        <w:rPr>
          <w:rFonts w:hint="eastAsia" w:ascii="仿宋_GB2312" w:hAnsi="Verdana"/>
          <w:szCs w:val="32"/>
        </w:rPr>
        <w:t>亿元，专项债</w:t>
      </w:r>
      <w:r>
        <w:rPr>
          <w:rFonts w:hint="eastAsia" w:ascii="仿宋_GB2312" w:hAnsi="Verdana"/>
          <w:szCs w:val="32"/>
          <w:lang w:eastAsia="zh-CN"/>
        </w:rPr>
        <w:t>券</w:t>
      </w:r>
      <w:r>
        <w:rPr>
          <w:rFonts w:hint="eastAsia" w:ascii="仿宋_GB2312" w:hAnsi="Verdana"/>
          <w:szCs w:val="32"/>
          <w:lang w:val="en-US" w:eastAsia="zh-CN"/>
        </w:rPr>
        <w:t>22.32</w:t>
      </w:r>
      <w:r>
        <w:rPr>
          <w:rFonts w:hint="eastAsia" w:ascii="仿宋_GB2312" w:hAnsi="Verdana"/>
          <w:szCs w:val="32"/>
        </w:rPr>
        <w:t>亿元。</w:t>
      </w:r>
    </w:p>
    <w:p>
      <w:pPr>
        <w:spacing w:line="560" w:lineRule="exact"/>
        <w:ind w:firstLine="632" w:firstLineChars="200"/>
        <w:rPr>
          <w:rFonts w:hint="eastAsia" w:ascii="仿宋_GB2312" w:hAnsi="Verdana"/>
          <w:szCs w:val="32"/>
        </w:rPr>
      </w:pPr>
      <w:r>
        <w:rPr>
          <w:rFonts w:hint="eastAsia" w:ascii="仿宋_GB2312" w:hAnsi="Verdana"/>
          <w:szCs w:val="32"/>
        </w:rPr>
        <w:t>当年债券还本</w:t>
      </w:r>
      <w:r>
        <w:rPr>
          <w:rFonts w:hint="eastAsia" w:ascii="仿宋_GB2312" w:hAnsi="Verdana"/>
          <w:szCs w:val="32"/>
          <w:lang w:val="en-US" w:eastAsia="zh-CN"/>
        </w:rPr>
        <w:t>4.7</w:t>
      </w:r>
      <w:r>
        <w:rPr>
          <w:rFonts w:hint="eastAsia" w:ascii="仿宋_GB2312" w:hAnsi="Verdana"/>
          <w:szCs w:val="32"/>
        </w:rPr>
        <w:t>亿元，其中一般债券</w:t>
      </w:r>
      <w:r>
        <w:rPr>
          <w:rFonts w:hint="eastAsia" w:ascii="仿宋_GB2312" w:hAnsi="Verdana"/>
          <w:szCs w:val="32"/>
          <w:lang w:val="en-US" w:eastAsia="zh-CN"/>
        </w:rPr>
        <w:t>1.1</w:t>
      </w:r>
      <w:r>
        <w:rPr>
          <w:rFonts w:hint="eastAsia" w:ascii="仿宋_GB2312" w:hAnsi="Verdana"/>
          <w:szCs w:val="32"/>
        </w:rPr>
        <w:t>亿元，专项债券</w:t>
      </w:r>
      <w:r>
        <w:rPr>
          <w:rFonts w:hint="eastAsia" w:ascii="仿宋_GB2312" w:hAnsi="Verdana"/>
          <w:szCs w:val="32"/>
          <w:lang w:val="en-US" w:eastAsia="zh-CN"/>
        </w:rPr>
        <w:t>3.6</w:t>
      </w:r>
      <w:r>
        <w:rPr>
          <w:rFonts w:hint="eastAsia" w:ascii="仿宋_GB2312" w:hAnsi="Verdana"/>
          <w:szCs w:val="32"/>
        </w:rPr>
        <w:t>亿元。</w:t>
      </w:r>
    </w:p>
    <w:p>
      <w:pPr>
        <w:spacing w:line="560" w:lineRule="exact"/>
        <w:ind w:firstLine="632" w:firstLineChars="200"/>
        <w:rPr>
          <w:rFonts w:hint="eastAsia" w:ascii="仿宋_GB2312" w:hAnsi="Verdana"/>
          <w:szCs w:val="32"/>
        </w:rPr>
      </w:pPr>
      <w:r>
        <w:rPr>
          <w:rFonts w:hint="eastAsia" w:ascii="仿宋_GB2312" w:hAnsi="Verdana"/>
          <w:szCs w:val="32"/>
        </w:rPr>
        <w:t>当年债券付息</w:t>
      </w:r>
      <w:r>
        <w:rPr>
          <w:rFonts w:hint="eastAsia" w:ascii="仿宋_GB2312" w:hAnsi="Verdana"/>
          <w:szCs w:val="32"/>
          <w:lang w:val="en-US" w:eastAsia="zh-CN"/>
        </w:rPr>
        <w:t>2.31</w:t>
      </w:r>
      <w:r>
        <w:rPr>
          <w:rFonts w:hint="eastAsia" w:ascii="仿宋_GB2312" w:hAnsi="Verdana"/>
          <w:szCs w:val="32"/>
        </w:rPr>
        <w:t>亿元，其中一般债券</w:t>
      </w:r>
      <w:r>
        <w:rPr>
          <w:rFonts w:hint="eastAsia" w:ascii="仿宋_GB2312" w:hAnsi="Verdana"/>
          <w:szCs w:val="32"/>
          <w:lang w:val="en-US" w:eastAsia="zh-CN"/>
        </w:rPr>
        <w:t>0.74</w:t>
      </w:r>
      <w:r>
        <w:rPr>
          <w:rFonts w:hint="eastAsia" w:ascii="仿宋_GB2312" w:hAnsi="Verdana"/>
          <w:szCs w:val="32"/>
        </w:rPr>
        <w:t>亿元，专项债券</w:t>
      </w:r>
      <w:r>
        <w:rPr>
          <w:rFonts w:hint="eastAsia" w:ascii="仿宋_GB2312" w:hAnsi="Verdana"/>
          <w:szCs w:val="32"/>
          <w:lang w:val="en-US" w:eastAsia="zh-CN"/>
        </w:rPr>
        <w:t>1.57</w:t>
      </w:r>
      <w:r>
        <w:rPr>
          <w:rFonts w:hint="eastAsia" w:ascii="仿宋_GB2312" w:hAnsi="Verdana"/>
          <w:szCs w:val="32"/>
        </w:rPr>
        <w:t>亿元。</w:t>
      </w:r>
    </w:p>
    <w:p>
      <w:pPr>
        <w:spacing w:line="560" w:lineRule="exact"/>
        <w:ind w:firstLine="632" w:firstLineChars="200"/>
        <w:rPr>
          <w:rFonts w:hint="eastAsia" w:ascii="仿宋_GB2312" w:hAnsi="Verdana"/>
          <w:szCs w:val="32"/>
        </w:rPr>
      </w:pPr>
      <w:r>
        <w:rPr>
          <w:rFonts w:hint="eastAsia" w:ascii="仿宋_GB2312" w:hAnsi="Verdana"/>
          <w:szCs w:val="32"/>
        </w:rPr>
        <w:t>2.地方政府债券支出使用情况</w:t>
      </w:r>
    </w:p>
    <w:p>
      <w:pPr>
        <w:spacing w:line="560" w:lineRule="exact"/>
        <w:ind w:firstLine="632" w:firstLineChars="200"/>
        <w:rPr>
          <w:rFonts w:hint="eastAsia" w:ascii="仿宋_GB2312" w:hAnsi="Verdana"/>
          <w:szCs w:val="32"/>
        </w:rPr>
      </w:pPr>
      <w:r>
        <w:rPr>
          <w:rFonts w:hint="eastAsia" w:ascii="仿宋_GB2312" w:hAnsi="Verdana"/>
          <w:szCs w:val="32"/>
        </w:rPr>
        <w:t>我县所有债券财政拨付进度均达到100%，无债券资金结转结余在财政情况发生。</w:t>
      </w:r>
    </w:p>
    <w:p>
      <w:pPr>
        <w:spacing w:line="560" w:lineRule="exact"/>
        <w:ind w:firstLine="632" w:firstLineChars="200"/>
        <w:rPr>
          <w:rFonts w:hint="eastAsia" w:ascii="仿宋_GB2312" w:hAnsi="Verdana"/>
          <w:szCs w:val="32"/>
        </w:rPr>
      </w:pPr>
      <w:r>
        <w:rPr>
          <w:rFonts w:hint="eastAsia" w:ascii="仿宋_GB2312" w:hAnsi="Verdana"/>
          <w:szCs w:val="32"/>
        </w:rPr>
        <w:t>（二）202</w:t>
      </w:r>
      <w:r>
        <w:rPr>
          <w:rFonts w:hint="eastAsia" w:ascii="仿宋_GB2312" w:hAnsi="Verdana"/>
          <w:szCs w:val="32"/>
          <w:lang w:val="en-US" w:eastAsia="zh-CN"/>
        </w:rPr>
        <w:t>3</w:t>
      </w:r>
      <w:r>
        <w:rPr>
          <w:rFonts w:hint="eastAsia" w:ascii="仿宋_GB2312" w:hAnsi="Verdana"/>
          <w:szCs w:val="32"/>
        </w:rPr>
        <w:t>年债务预算情况</w:t>
      </w:r>
    </w:p>
    <w:p>
      <w:pPr>
        <w:spacing w:line="560" w:lineRule="exact"/>
        <w:ind w:firstLine="632" w:firstLineChars="200"/>
        <w:rPr>
          <w:rFonts w:hint="eastAsia" w:ascii="仿宋_GB2312" w:hAnsi="Verdana"/>
          <w:szCs w:val="32"/>
        </w:rPr>
      </w:pPr>
      <w:r>
        <w:rPr>
          <w:rFonts w:hint="eastAsia" w:ascii="仿宋_GB2312" w:hAnsi="Verdana"/>
          <w:szCs w:val="32"/>
        </w:rPr>
        <w:t>根据省财政厅地方政府债券管理系统数据，以202</w:t>
      </w:r>
      <w:r>
        <w:rPr>
          <w:rFonts w:hint="eastAsia" w:ascii="仿宋_GB2312" w:hAnsi="Verdana"/>
          <w:szCs w:val="32"/>
          <w:lang w:val="en-US" w:eastAsia="zh-CN"/>
        </w:rPr>
        <w:t>2</w:t>
      </w:r>
      <w:r>
        <w:rPr>
          <w:rFonts w:hint="eastAsia" w:ascii="仿宋_GB2312" w:hAnsi="Verdana"/>
          <w:szCs w:val="32"/>
        </w:rPr>
        <w:t>年地方政府债券付息额为基数，各项预算如下：</w:t>
      </w:r>
    </w:p>
    <w:p>
      <w:pPr>
        <w:spacing w:line="560" w:lineRule="exact"/>
        <w:ind w:firstLine="632" w:firstLineChars="200"/>
        <w:rPr>
          <w:rFonts w:hint="eastAsia" w:ascii="仿宋_GB2312" w:hAnsi="Verdana"/>
          <w:szCs w:val="32"/>
        </w:rPr>
      </w:pPr>
      <w:r>
        <w:rPr>
          <w:rFonts w:hint="eastAsia" w:ascii="仿宋_GB2312" w:hAnsi="Verdana"/>
          <w:szCs w:val="32"/>
        </w:rPr>
        <w:t>202</w:t>
      </w:r>
      <w:r>
        <w:rPr>
          <w:rFonts w:hint="eastAsia" w:ascii="仿宋_GB2312" w:hAnsi="Verdana"/>
          <w:szCs w:val="32"/>
          <w:lang w:val="en-US" w:eastAsia="zh-CN"/>
        </w:rPr>
        <w:t>3</w:t>
      </w:r>
      <w:r>
        <w:rPr>
          <w:rFonts w:hint="eastAsia" w:ascii="仿宋_GB2312" w:hAnsi="Verdana"/>
          <w:szCs w:val="32"/>
        </w:rPr>
        <w:t>年政府债券还本预算</w:t>
      </w:r>
      <w:r>
        <w:rPr>
          <w:rFonts w:hint="eastAsia" w:ascii="仿宋_GB2312" w:hAnsi="Verdana"/>
          <w:szCs w:val="32"/>
          <w:lang w:val="en-US" w:eastAsia="zh-CN"/>
        </w:rPr>
        <w:t>7.966</w:t>
      </w:r>
      <w:r>
        <w:rPr>
          <w:rFonts w:hint="eastAsia" w:ascii="仿宋_GB2312" w:hAnsi="Verdana"/>
          <w:szCs w:val="32"/>
        </w:rPr>
        <w:t>亿元，其中一般债券</w:t>
      </w:r>
      <w:r>
        <w:rPr>
          <w:rFonts w:hint="eastAsia" w:ascii="仿宋_GB2312" w:hAnsi="Verdana"/>
          <w:szCs w:val="32"/>
          <w:lang w:val="en-US" w:eastAsia="zh-CN"/>
        </w:rPr>
        <w:t>0.126</w:t>
      </w:r>
      <w:r>
        <w:rPr>
          <w:rFonts w:hint="eastAsia" w:ascii="仿宋_GB2312" w:hAnsi="Verdana"/>
          <w:szCs w:val="32"/>
        </w:rPr>
        <w:t>亿元，专项债券</w:t>
      </w:r>
      <w:r>
        <w:rPr>
          <w:rFonts w:hint="eastAsia" w:ascii="仿宋_GB2312" w:hAnsi="Verdana"/>
          <w:szCs w:val="32"/>
          <w:lang w:val="en-US" w:eastAsia="zh-CN"/>
        </w:rPr>
        <w:t>7.84</w:t>
      </w:r>
      <w:r>
        <w:rPr>
          <w:rFonts w:hint="eastAsia" w:ascii="仿宋_GB2312" w:hAnsi="Verdana"/>
          <w:szCs w:val="32"/>
        </w:rPr>
        <w:t>亿元。</w:t>
      </w:r>
    </w:p>
    <w:p>
      <w:pPr>
        <w:spacing w:line="560" w:lineRule="exact"/>
        <w:ind w:firstLine="632" w:firstLineChars="200"/>
        <w:rPr>
          <w:rFonts w:hint="eastAsia" w:ascii="仿宋_GB2312" w:hAnsi="Verdana"/>
          <w:szCs w:val="32"/>
        </w:rPr>
      </w:pPr>
      <w:r>
        <w:rPr>
          <w:rFonts w:hint="eastAsia" w:ascii="仿宋_GB2312" w:hAnsi="Verdana"/>
          <w:szCs w:val="32"/>
        </w:rPr>
        <w:t>202</w:t>
      </w:r>
      <w:r>
        <w:rPr>
          <w:rFonts w:hint="eastAsia" w:ascii="仿宋_GB2312" w:hAnsi="Verdana"/>
          <w:szCs w:val="32"/>
          <w:lang w:val="en-US" w:eastAsia="zh-CN"/>
        </w:rPr>
        <w:t>3</w:t>
      </w:r>
      <w:r>
        <w:rPr>
          <w:rFonts w:hint="eastAsia" w:ascii="仿宋_GB2312" w:hAnsi="Verdana"/>
          <w:szCs w:val="32"/>
        </w:rPr>
        <w:t>年政府债券付息预算2</w:t>
      </w:r>
      <w:r>
        <w:rPr>
          <w:rFonts w:hint="eastAsia" w:ascii="仿宋_GB2312" w:hAnsi="Verdana"/>
          <w:szCs w:val="32"/>
          <w:lang w:val="en-US" w:eastAsia="zh-CN"/>
        </w:rPr>
        <w:t>.637</w:t>
      </w:r>
      <w:r>
        <w:rPr>
          <w:rFonts w:hint="eastAsia" w:ascii="仿宋_GB2312" w:hAnsi="Verdana"/>
          <w:szCs w:val="32"/>
        </w:rPr>
        <w:t>亿元，其中一般债券</w:t>
      </w:r>
      <w:r>
        <w:rPr>
          <w:rFonts w:hint="eastAsia" w:ascii="仿宋_GB2312" w:hAnsi="Verdana"/>
          <w:szCs w:val="32"/>
          <w:lang w:val="en-US" w:eastAsia="zh-CN"/>
        </w:rPr>
        <w:t>0.762</w:t>
      </w:r>
      <w:r>
        <w:rPr>
          <w:rFonts w:hint="eastAsia" w:ascii="仿宋_GB2312" w:hAnsi="Verdana"/>
          <w:szCs w:val="32"/>
        </w:rPr>
        <w:t>亿元，专项债券</w:t>
      </w:r>
      <w:r>
        <w:rPr>
          <w:rFonts w:hint="eastAsia" w:ascii="仿宋_GB2312" w:hAnsi="Verdana"/>
          <w:szCs w:val="32"/>
          <w:lang w:val="en-US" w:eastAsia="zh-CN"/>
        </w:rPr>
        <w:t>1.875</w:t>
      </w:r>
      <w:r>
        <w:rPr>
          <w:rFonts w:hint="eastAsia" w:ascii="仿宋_GB2312" w:hAnsi="Verdana"/>
          <w:szCs w:val="32"/>
        </w:rPr>
        <w:t>亿元。</w:t>
      </w:r>
    </w:p>
    <w:p>
      <w:pP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三、财政转移支付安排情况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20</w:t>
      </w:r>
      <w:r>
        <w:rPr>
          <w:rFonts w:hint="eastAsia" w:ascii="仿宋_GB2312" w:hAnsi="仿宋_GB2312" w:cs="仿宋_GB2312"/>
          <w:sz w:val="32"/>
          <w:szCs w:val="32"/>
          <w:highlight w:val="none"/>
          <w:lang w:val="en-US" w:eastAsia="zh-CN"/>
        </w:rPr>
        <w:t>23</w:t>
      </w:r>
      <w:r>
        <w:rPr>
          <w:rFonts w:hint="eastAsia" w:ascii="仿宋_GB2312" w:hAnsi="仿宋_GB2312" w:eastAsia="仿宋_GB2312" w:cs="仿宋_GB2312"/>
          <w:sz w:val="32"/>
          <w:szCs w:val="32"/>
          <w:highlight w:val="none"/>
          <w:lang w:eastAsia="zh-CN"/>
        </w:rPr>
        <w:t>年财政转移支付</w:t>
      </w:r>
      <w:r>
        <w:rPr>
          <w:rFonts w:hint="eastAsia" w:ascii="仿宋_GB2312" w:hAnsi="仿宋_GB2312" w:cs="仿宋_GB2312"/>
          <w:sz w:val="32"/>
          <w:szCs w:val="32"/>
          <w:highlight w:val="none"/>
          <w:lang w:eastAsia="zh-CN"/>
        </w:rPr>
        <w:t>收入</w:t>
      </w:r>
      <w:r>
        <w:rPr>
          <w:rFonts w:hint="eastAsia" w:ascii="仿宋_GB2312" w:hAnsi="仿宋_GB2312" w:eastAsia="仿宋_GB2312" w:cs="仿宋_GB2312"/>
          <w:sz w:val="32"/>
          <w:szCs w:val="32"/>
          <w:highlight w:val="none"/>
          <w:lang w:eastAsia="zh-CN"/>
        </w:rPr>
        <w:t>安排</w:t>
      </w:r>
      <w:r>
        <w:rPr>
          <w:rFonts w:hint="eastAsia" w:ascii="仿宋_GB2312" w:hAnsi="仿宋_GB2312" w:cs="仿宋_GB2312"/>
          <w:sz w:val="32"/>
          <w:szCs w:val="32"/>
          <w:highlight w:val="none"/>
          <w:lang w:val="en-US" w:eastAsia="zh-CN"/>
        </w:rPr>
        <w:t>92914</w:t>
      </w:r>
      <w:r>
        <w:rPr>
          <w:rFonts w:hint="eastAsia" w:ascii="仿宋_GB2312" w:hAnsi="仿宋_GB2312" w:cs="仿宋_GB2312"/>
          <w:sz w:val="32"/>
          <w:szCs w:val="32"/>
          <w:highlight w:val="none"/>
          <w:lang w:eastAsia="zh-CN"/>
        </w:rPr>
        <w:t>万</w:t>
      </w:r>
      <w:r>
        <w:rPr>
          <w:rFonts w:hint="eastAsia" w:ascii="仿宋_GB2312" w:hAnsi="仿宋_GB2312" w:eastAsia="仿宋_GB2312" w:cs="仿宋_GB2312"/>
          <w:sz w:val="32"/>
          <w:szCs w:val="32"/>
          <w:highlight w:val="none"/>
          <w:lang w:eastAsia="zh-CN"/>
        </w:rPr>
        <w:t>元，其中：</w:t>
      </w:r>
      <w:r>
        <w:rPr>
          <w:rFonts w:hint="eastAsia" w:ascii="仿宋_GB2312" w:eastAsia="仿宋_GB2312"/>
          <w:sz w:val="32"/>
          <w:szCs w:val="32"/>
          <w:highlight w:val="none"/>
        </w:rPr>
        <w:t>一般性转移支付</w:t>
      </w:r>
      <w:r>
        <w:rPr>
          <w:rFonts w:hint="eastAsia" w:ascii="仿宋_GB2312"/>
          <w:sz w:val="32"/>
          <w:szCs w:val="32"/>
          <w:highlight w:val="none"/>
          <w:lang w:val="en-US" w:eastAsia="zh-CN"/>
        </w:rPr>
        <w:t>91239</w:t>
      </w:r>
      <w:r>
        <w:rPr>
          <w:rFonts w:hint="eastAsia" w:ascii="仿宋_GB2312" w:eastAsia="仿宋_GB2312"/>
          <w:sz w:val="32"/>
          <w:szCs w:val="32"/>
          <w:highlight w:val="none"/>
        </w:rPr>
        <w:t>万元，专项转移支付</w:t>
      </w:r>
      <w:r>
        <w:rPr>
          <w:rFonts w:hint="eastAsia" w:ascii="仿宋_GB2312"/>
          <w:sz w:val="32"/>
          <w:szCs w:val="32"/>
          <w:highlight w:val="none"/>
          <w:lang w:val="en-US" w:eastAsia="zh-CN"/>
        </w:rPr>
        <w:t>1675</w:t>
      </w:r>
      <w:r>
        <w:rPr>
          <w:rFonts w:hint="eastAsia" w:ascii="仿宋_GB2312" w:eastAsia="仿宋_GB2312"/>
          <w:sz w:val="32"/>
          <w:szCs w:val="32"/>
          <w:highlight w:val="none"/>
        </w:rPr>
        <w:t>万元</w:t>
      </w:r>
      <w:r>
        <w:rPr>
          <w:rFonts w:hint="eastAsia" w:ascii="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highlight w:val="yellow"/>
          <w:lang w:eastAsia="zh-CN"/>
        </w:rPr>
      </w:pPr>
      <w:r>
        <w:rPr>
          <w:rFonts w:hint="eastAsia" w:ascii="楷体_GB2312" w:hAnsi="楷体_GB2312" w:eastAsia="楷体_GB2312" w:cs="楷体_GB2312"/>
          <w:color w:val="000000"/>
          <w:sz w:val="32"/>
          <w:szCs w:val="32"/>
          <w:highlight w:val="none"/>
          <w:lang w:val="en-US" w:eastAsia="zh-CN"/>
        </w:rPr>
        <w:t>（一）一般性转移支付</w:t>
      </w:r>
      <w:r>
        <w:rPr>
          <w:rFonts w:hint="eastAsia" w:ascii="仿宋_GB2312"/>
          <w:sz w:val="32"/>
          <w:szCs w:val="32"/>
          <w:highlight w:val="none"/>
          <w:lang w:val="en-US" w:eastAsia="zh-CN"/>
        </w:rPr>
        <w:t>91239</w:t>
      </w:r>
      <w:r>
        <w:rPr>
          <w:rFonts w:hint="eastAsia" w:ascii="楷体_GB2312" w:hAnsi="楷体_GB2312" w:eastAsia="楷体_GB2312" w:cs="楷体_GB2312"/>
          <w:color w:val="000000"/>
          <w:sz w:val="32"/>
          <w:szCs w:val="32"/>
          <w:highlight w:val="none"/>
          <w:lang w:val="en-US" w:eastAsia="zh-CN"/>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cs="仿宋_GB2312"/>
          <w:sz w:val="32"/>
          <w:szCs w:val="32"/>
          <w:highlight w:val="none"/>
          <w:lang w:eastAsia="zh-CN"/>
        </w:rPr>
        <w:t>体制补助收入</w:t>
      </w:r>
      <w:r>
        <w:rPr>
          <w:rFonts w:hint="eastAsia" w:ascii="仿宋_GB2312" w:hAnsi="仿宋_GB2312" w:cs="仿宋_GB2312"/>
          <w:sz w:val="32"/>
          <w:szCs w:val="32"/>
          <w:highlight w:val="none"/>
          <w:lang w:val="en-US" w:eastAsia="zh-CN"/>
        </w:rPr>
        <w:t>295万元，均衡性转移支付收入22073万元，县级基本财力保障机制奖补资金收入4548万元，结算补助收入878万元，企业事业单位划转补助收入165万元，重点生态功能区转移支付收入5657万元，固定数额补助收入10332万元，民族地区转移支付收入12万元，巩固脱贫攻坚成果衔接乡村振兴转移支付收入573万元，一般公共服务共同财政事权转移支付收入26万元，公共安全共同财政事权转移支付收入1387万元，教育共同财政事权转移支付收入8347万元，科学技术共同财政事权转移支付收入509万元，文化旅游体育与传媒共同财政事权转移支付收入489万元，社会保障和就业共同财政事权转移支付收入20107万元，医疗卫生共同财政事权转移支付收入3516万元，农林水共同财政事权转移支付收入9974万元，交通运输共同财政事权转移支付收入869万元，住房保障共同财政事权转移支付收入1316万元，灾害防治及应急管理共同财政事权转移支付收入64万元，其他一般性转移支付收入102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方正小标宋_GBK" w:hAnsi="方正小标宋_GBK" w:eastAsia="方正小标宋_GBK" w:cs="方正小标宋_GBK"/>
          <w:sz w:val="36"/>
          <w:szCs w:val="36"/>
          <w:lang w:val="en-US" w:eastAsia="zh-CN"/>
        </w:rPr>
      </w:pPr>
      <w:r>
        <w:rPr>
          <w:rFonts w:hint="eastAsia" w:ascii="楷体_GB2312" w:hAnsi="楷体_GB2312" w:eastAsia="楷体_GB2312" w:cs="楷体_GB2312"/>
          <w:color w:val="000000"/>
          <w:sz w:val="32"/>
          <w:szCs w:val="32"/>
          <w:highlight w:val="none"/>
          <w:lang w:val="en-US" w:eastAsia="zh-CN"/>
        </w:rPr>
        <w:t>（二）专项转移支付1675万元。</w:t>
      </w:r>
      <w:r>
        <w:rPr>
          <w:rFonts w:hint="eastAsia" w:ascii="仿宋_GB2312" w:hAnsi="仿宋_GB2312" w:eastAsia="仿宋_GB2312" w:cs="仿宋_GB2312"/>
          <w:sz w:val="32"/>
          <w:szCs w:val="32"/>
          <w:highlight w:val="none"/>
          <w:lang w:eastAsia="zh-CN"/>
        </w:rPr>
        <w:t>其中：</w:t>
      </w:r>
      <w:r>
        <w:rPr>
          <w:rFonts w:hint="eastAsia" w:ascii="仿宋_GB2312" w:hAnsi="仿宋_GB2312" w:cs="仿宋_GB2312"/>
          <w:sz w:val="32"/>
          <w:szCs w:val="32"/>
          <w:highlight w:val="none"/>
          <w:lang w:val="en-US" w:eastAsia="zh-CN"/>
        </w:rPr>
        <w:t>卫生健康39万元，节能环保支出700万元，农林水支出935万元，资源勘探工业信息1万元。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四、绩效预算工作开展情况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认真贯彻落实十九大“建立全面规范透明、标准科学、约束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有力的预算制度，全面实施绩效管理”的改革部署和省政府《关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于深化绩效预算管理改革的意见》要求，在努力构建“预算编制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有目标、预算执行有监控、预算完成有评价、评价结果有应用、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绩效缺失有问责”的全过程绩效管理新机制基础上，多方面持续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用力，进一步推进全省绩效预算管理科学化、规范化、系统化。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（一）、加强组织领导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jc w:val="left"/>
        <w:textAlignment w:val="auto"/>
        <w:outlineLvl w:val="9"/>
        <w:rPr>
          <w:rFonts w:ascii="仿宋_GB2312" w:eastAsia="仿宋_GB2312"/>
          <w:sz w:val="32"/>
          <w:szCs w:val="32"/>
        </w:rPr>
      </w:pPr>
      <w:r>
        <w:rPr>
          <w:rFonts w:hint="eastAsia" w:ascii="仿宋_GB2312" w:eastAsia="仿宋_GB2312"/>
          <w:sz w:val="32"/>
          <w:szCs w:val="32"/>
        </w:rPr>
        <w:t>为确保预算绩效管理体制改革工作顺利开展，明确职责分工，强化组织保障，成立绩效预算管理改革工作领导小组，负责绩效预算管理体制改革工作的组织领导和沟通协调。领导小组组长由局长担任、副组长由副局长担任、各业务股股长为领导小组成员。领导小组办公室设在预算股，由专人负责绩效预算联络工作。各预算部门建立绩效预算工作联络员制度，负责与县财政局绩效预算管理改革工作领导小组办公室和本部门科室之间的沟通、信息反馈及日常工作。各部门均按照财政部门的工作要求，积极推进绩效预算管理改革，与财政部门建立协调机制，确保改革工作的顺利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（二）、开展业务培训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按照绩效预算管理改革工作总体部署，多次组织召开业务培训，努力使财政部门各股室、各预算部门负责人全面掌握改革政策要求，确保业务人员了解绩效预算改革内容、操作流程，能够熟练进行业务操作。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（三）全面实施预算绩效管理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按照深化财税体制改革、加快建立现代财政制度的总体要求，根据中共河北省委、河北省人民政府《关于全面实施预算绩效管理的实施意见》（冀发</w:t>
      </w:r>
      <w:r>
        <w:rPr>
          <w:rFonts w:hint="eastAsia" w:ascii="仿宋_GB2312" w:eastAsia="仿宋_GB2312"/>
          <w:sz w:val="32"/>
          <w:szCs w:val="32"/>
          <w:lang w:eastAsia="zh-CN"/>
        </w:rPr>
        <w:t>〔</w:t>
      </w:r>
      <w:r>
        <w:rPr>
          <w:rFonts w:hint="eastAsia" w:ascii="仿宋_GB2312" w:eastAsia="仿宋_GB2312"/>
          <w:sz w:val="32"/>
          <w:szCs w:val="32"/>
          <w:lang w:val="en-US" w:eastAsia="zh-CN"/>
        </w:rPr>
        <w:t>2018</w:t>
      </w:r>
      <w:r>
        <w:rPr>
          <w:rFonts w:hint="eastAsia" w:ascii="仿宋_GB2312" w:eastAsia="仿宋_GB2312"/>
          <w:sz w:val="32"/>
          <w:szCs w:val="32"/>
          <w:lang w:eastAsia="zh-CN"/>
        </w:rPr>
        <w:t>〕</w:t>
      </w:r>
      <w:r>
        <w:rPr>
          <w:rFonts w:hint="eastAsia" w:ascii="仿宋_GB2312" w:eastAsia="仿宋_GB2312"/>
          <w:sz w:val="32"/>
          <w:szCs w:val="32"/>
        </w:rPr>
        <w:t>54号）</w:t>
      </w:r>
      <w:r>
        <w:rPr>
          <w:rFonts w:hint="eastAsia" w:ascii="仿宋_GB2312" w:eastAsia="仿宋_GB2312"/>
          <w:sz w:val="32"/>
          <w:szCs w:val="32"/>
          <w:lang w:eastAsia="zh-CN"/>
        </w:rPr>
        <w:t>和张家口市委、张家口市人民政府《张家口市全面实施预算绩效管理推进方案》（张发〔</w:t>
      </w:r>
      <w:r>
        <w:rPr>
          <w:rFonts w:hint="eastAsia" w:ascii="仿宋_GB2312" w:eastAsia="仿宋_GB2312"/>
          <w:sz w:val="32"/>
          <w:szCs w:val="32"/>
          <w:lang w:val="en-US" w:eastAsia="zh-CN"/>
        </w:rPr>
        <w:t>2019</w:t>
      </w:r>
      <w:r>
        <w:rPr>
          <w:rFonts w:hint="eastAsia" w:ascii="仿宋_GB2312" w:eastAsia="仿宋_GB2312"/>
          <w:sz w:val="32"/>
          <w:szCs w:val="32"/>
          <w:lang w:eastAsia="zh-CN"/>
        </w:rPr>
        <w:t>〕</w:t>
      </w:r>
      <w:r>
        <w:rPr>
          <w:rFonts w:hint="eastAsia" w:ascii="仿宋_GB2312" w:eastAsia="仿宋_GB2312"/>
          <w:sz w:val="32"/>
          <w:szCs w:val="32"/>
          <w:lang w:val="en-US" w:eastAsia="zh-CN"/>
        </w:rPr>
        <w:t>7号</w:t>
      </w:r>
      <w:r>
        <w:rPr>
          <w:rFonts w:hint="eastAsia" w:ascii="仿宋_GB2312" w:eastAsia="仿宋_GB2312"/>
          <w:sz w:val="32"/>
          <w:szCs w:val="32"/>
          <w:lang w:eastAsia="zh-CN"/>
        </w:rPr>
        <w:t>）</w:t>
      </w:r>
      <w:r>
        <w:rPr>
          <w:rFonts w:hint="eastAsia" w:ascii="仿宋_GB2312" w:eastAsia="仿宋_GB2312"/>
          <w:sz w:val="32"/>
          <w:szCs w:val="32"/>
        </w:rPr>
        <w:t>，结合我</w:t>
      </w:r>
      <w:r>
        <w:rPr>
          <w:rFonts w:hint="eastAsia" w:ascii="仿宋_GB2312" w:eastAsia="仿宋_GB2312"/>
          <w:sz w:val="32"/>
          <w:szCs w:val="32"/>
          <w:lang w:eastAsia="zh-CN"/>
        </w:rPr>
        <w:t>县</w:t>
      </w:r>
      <w:r>
        <w:rPr>
          <w:rFonts w:hint="eastAsia" w:ascii="仿宋_GB2312" w:eastAsia="仿宋_GB2312"/>
          <w:sz w:val="32"/>
          <w:szCs w:val="32"/>
        </w:rPr>
        <w:t>实际，确定我</w:t>
      </w:r>
      <w:r>
        <w:rPr>
          <w:rFonts w:hint="eastAsia" w:ascii="仿宋_GB2312" w:eastAsia="仿宋_GB2312"/>
          <w:sz w:val="32"/>
          <w:szCs w:val="32"/>
          <w:lang w:eastAsia="zh-CN"/>
        </w:rPr>
        <w:t>县</w:t>
      </w:r>
      <w:r>
        <w:rPr>
          <w:rFonts w:hint="eastAsia" w:ascii="仿宋_GB2312" w:eastAsia="仿宋_GB2312"/>
          <w:sz w:val="32"/>
          <w:szCs w:val="32"/>
        </w:rPr>
        <w:t>预算绩效管理改革的总体目标是：全面强化绩效理念，突出强调成本效益，更加注重结果导向，切实硬化责任约束，通过逐步构建完善的制度和标准体系，突出抓好目标设定、运行监控、绩效评价等关键环节，推动预算绩效管理扩围升级，将政府收支预算、部门收支预算、政策资金和项目预算全面纳入绩效管理，将绩效管理覆盖所有财政资金，将绩效理念和方法深度融入预算编制、执行和监督各个环节。2019年推进预算绩效管理</w:t>
      </w:r>
      <w:r>
        <w:rPr>
          <w:rFonts w:hint="eastAsia" w:ascii="仿宋_GB2312" w:eastAsia="仿宋_GB2312"/>
          <w:sz w:val="32"/>
          <w:szCs w:val="32"/>
          <w:lang w:eastAsia="zh-CN"/>
        </w:rPr>
        <w:t>工作</w:t>
      </w:r>
      <w:r>
        <w:rPr>
          <w:rFonts w:hint="eastAsia" w:ascii="仿宋_GB2312" w:eastAsia="仿宋_GB2312"/>
          <w:sz w:val="32"/>
          <w:szCs w:val="32"/>
        </w:rPr>
        <w:t>，到2020年底，基本建成全方位、全过程、全覆盖的预算绩效管理体系，形成制度完善、管理规范、运转高效的预算绩效管理机制。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（四）完善项目库建设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根据改革要求建立健全预算项目库，完善管理机制，充分发挥项目库的基础支撑作用。预算管理做到所有预算项目都要进入项目库，没有进入项目库的不得安排预</w:t>
      </w:r>
      <w:r>
        <w:rPr>
          <w:rFonts w:hint="eastAsia" w:ascii="仿宋_GB2312" w:eastAsia="仿宋_GB2312"/>
          <w:color w:val="auto"/>
          <w:sz w:val="32"/>
          <w:szCs w:val="32"/>
        </w:rPr>
        <w:t>算。</w:t>
      </w:r>
      <w:r>
        <w:rPr>
          <w:rFonts w:hint="eastAsia" w:ascii="仿宋_GB2312"/>
          <w:color w:val="auto"/>
          <w:sz w:val="32"/>
          <w:szCs w:val="32"/>
          <w:lang w:eastAsia="zh-CN"/>
        </w:rPr>
        <w:t>202</w:t>
      </w:r>
      <w:r>
        <w:rPr>
          <w:rFonts w:hint="eastAsia" w:ascii="仿宋_GB2312"/>
          <w:color w:val="auto"/>
          <w:sz w:val="32"/>
          <w:szCs w:val="32"/>
          <w:lang w:val="en-US" w:eastAsia="zh-CN"/>
        </w:rPr>
        <w:t>3</w:t>
      </w:r>
      <w:r>
        <w:rPr>
          <w:rFonts w:hint="eastAsia" w:ascii="仿宋_GB2312" w:eastAsia="仿宋_GB2312"/>
          <w:color w:val="auto"/>
          <w:sz w:val="32"/>
          <w:szCs w:val="32"/>
        </w:rPr>
        <w:t>年，我县年初入库项目</w:t>
      </w:r>
      <w:r>
        <w:rPr>
          <w:rFonts w:hint="eastAsia" w:ascii="仿宋_GB2312"/>
          <w:color w:val="auto"/>
          <w:sz w:val="32"/>
          <w:szCs w:val="32"/>
          <w:lang w:val="en-US" w:eastAsia="zh-CN"/>
        </w:rPr>
        <w:t>1053</w:t>
      </w:r>
      <w:r>
        <w:rPr>
          <w:rFonts w:hint="eastAsia" w:ascii="仿宋_GB2312" w:eastAsia="仿宋_GB2312"/>
          <w:color w:val="auto"/>
          <w:sz w:val="32"/>
          <w:szCs w:val="32"/>
        </w:rPr>
        <w:t>条，涉及资金</w:t>
      </w:r>
      <w:r>
        <w:rPr>
          <w:rFonts w:hint="eastAsia" w:ascii="仿宋_GB2312"/>
          <w:color w:val="auto"/>
          <w:sz w:val="32"/>
          <w:szCs w:val="32"/>
          <w:lang w:val="en-US" w:eastAsia="zh-CN"/>
        </w:rPr>
        <w:t>562507.9154</w:t>
      </w:r>
      <w:r>
        <w:rPr>
          <w:rFonts w:hint="eastAsia" w:ascii="仿宋_GB2312" w:eastAsia="仿宋_GB2312"/>
          <w:color w:val="auto"/>
          <w:sz w:val="32"/>
          <w:szCs w:val="32"/>
        </w:rPr>
        <w:t>万元。此举进一步规范了我县预算项</w:t>
      </w:r>
      <w:r>
        <w:rPr>
          <w:rFonts w:hint="eastAsia" w:ascii="仿宋_GB2312" w:eastAsia="仿宋_GB2312"/>
          <w:sz w:val="32"/>
          <w:szCs w:val="32"/>
        </w:rPr>
        <w:t>目申报审核，按程序组织项目论证、审查和入库的工作，切实提高项目预算编制质量。组织全县</w:t>
      </w:r>
      <w:r>
        <w:rPr>
          <w:rFonts w:hint="eastAsia" w:ascii="仿宋_GB2312"/>
          <w:sz w:val="32"/>
          <w:szCs w:val="32"/>
          <w:lang w:val="en-US" w:eastAsia="zh-CN"/>
        </w:rPr>
        <w:t>67</w:t>
      </w:r>
      <w:r>
        <w:rPr>
          <w:rFonts w:hint="eastAsia" w:ascii="仿宋_GB2312" w:eastAsia="仿宋_GB2312"/>
          <w:sz w:val="32"/>
          <w:szCs w:val="32"/>
        </w:rPr>
        <w:t>个预算部门比照“部门职责-工作活动”目录及绩效目标指标体系修订完善了</w:t>
      </w:r>
      <w:r>
        <w:rPr>
          <w:rFonts w:hint="eastAsia" w:ascii="仿宋_GB2312"/>
          <w:sz w:val="32"/>
          <w:szCs w:val="32"/>
          <w:lang w:val="en-US" w:eastAsia="zh-CN"/>
        </w:rPr>
        <w:t>1836</w:t>
      </w:r>
      <w:r>
        <w:rPr>
          <w:rFonts w:hint="eastAsia" w:ascii="仿宋_GB2312" w:eastAsia="仿宋_GB2312"/>
          <w:sz w:val="32"/>
          <w:szCs w:val="32"/>
        </w:rPr>
        <w:t>条指标，实行了规范的绩效预算管理结构，按照“部门职责-工作活动-预算项目”三个层级编制</w:t>
      </w:r>
      <w:r>
        <w:rPr>
          <w:rFonts w:hint="eastAsia" w:ascii="仿宋_GB2312"/>
          <w:sz w:val="32"/>
          <w:szCs w:val="32"/>
          <w:lang w:eastAsia="zh-CN"/>
        </w:rPr>
        <w:t>202</w:t>
      </w:r>
      <w:r>
        <w:rPr>
          <w:rFonts w:hint="eastAsia" w:ascii="仿宋_GB2312"/>
          <w:sz w:val="32"/>
          <w:szCs w:val="32"/>
          <w:lang w:val="en-US" w:eastAsia="zh-CN"/>
        </w:rPr>
        <w:t>3</w:t>
      </w:r>
      <w:r>
        <w:rPr>
          <w:rFonts w:hint="eastAsia" w:ascii="仿宋_GB2312" w:eastAsia="仿宋_GB2312"/>
          <w:sz w:val="32"/>
          <w:szCs w:val="32"/>
        </w:rPr>
        <w:t>年部门预算。预算编制明确了绩效审核标准，实行绩效目标指标管理，1</w:t>
      </w:r>
      <w:r>
        <w:rPr>
          <w:rFonts w:hint="eastAsia" w:ascii="仿宋_GB2312"/>
          <w:sz w:val="32"/>
          <w:szCs w:val="32"/>
          <w:lang w:val="en-US" w:eastAsia="zh-CN"/>
        </w:rPr>
        <w:t>836</w:t>
      </w:r>
      <w:r>
        <w:rPr>
          <w:rFonts w:hint="eastAsia" w:ascii="仿宋_GB2312" w:eastAsia="仿宋_GB2312"/>
          <w:sz w:val="32"/>
          <w:szCs w:val="32"/>
        </w:rPr>
        <w:t>条绩效目标指标均可量化，达到可审核、监控、评价的程度。并依托省厅开发的“河北财政管理系统一体化平台”，将项目与指标紧密结合，实行全程跟踪管理。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（五）规范预算编制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按照绩效预算管理体制改革要求分别编制了一般公共预算、政府性基金预算、国有资本经营收入</w:t>
      </w:r>
      <w:r>
        <w:rPr>
          <w:rFonts w:hint="eastAsia" w:ascii="仿宋_GB2312"/>
          <w:sz w:val="32"/>
          <w:szCs w:val="32"/>
          <w:lang w:eastAsia="zh-CN"/>
        </w:rPr>
        <w:t>、</w:t>
      </w:r>
      <w:r>
        <w:rPr>
          <w:rFonts w:hint="eastAsia" w:ascii="仿宋_GB2312" w:eastAsia="仿宋_GB2312"/>
          <w:sz w:val="32"/>
          <w:szCs w:val="32"/>
        </w:rPr>
        <w:t>社会保险基金预算</w:t>
      </w:r>
      <w:r>
        <w:rPr>
          <w:rFonts w:hint="eastAsia" w:ascii="仿宋_GB2312"/>
          <w:sz w:val="32"/>
          <w:szCs w:val="32"/>
          <w:lang w:eastAsia="zh-CN"/>
        </w:rPr>
        <w:t>四</w:t>
      </w:r>
      <w:r>
        <w:rPr>
          <w:rFonts w:hint="eastAsia" w:ascii="仿宋_GB2312" w:eastAsia="仿宋_GB2312"/>
          <w:sz w:val="32"/>
          <w:szCs w:val="32"/>
        </w:rPr>
        <w:t>本预算，将上级税收返还、下级上解收入、列入基数和提前通知</w:t>
      </w:r>
      <w:bookmarkStart w:id="0" w:name="_GoBack"/>
      <w:bookmarkEnd w:id="0"/>
      <w:r>
        <w:rPr>
          <w:rFonts w:hint="eastAsia" w:ascii="仿宋_GB2312" w:eastAsia="仿宋_GB2312"/>
          <w:sz w:val="32"/>
          <w:szCs w:val="32"/>
        </w:rPr>
        <w:t>的上级转移支付，与本级收入一并列入收入预算，统筹安排本级支出。县级</w:t>
      </w:r>
      <w:r>
        <w:rPr>
          <w:rFonts w:hint="eastAsia" w:ascii="仿宋_GB2312"/>
          <w:sz w:val="32"/>
          <w:szCs w:val="32"/>
          <w:lang w:eastAsia="zh-CN"/>
        </w:rPr>
        <w:t>202</w:t>
      </w:r>
      <w:r>
        <w:rPr>
          <w:rFonts w:hint="eastAsia" w:ascii="仿宋_GB2312"/>
          <w:sz w:val="32"/>
          <w:szCs w:val="32"/>
          <w:lang w:val="en-US" w:eastAsia="zh-CN"/>
        </w:rPr>
        <w:t>3</w:t>
      </w:r>
      <w:r>
        <w:rPr>
          <w:rFonts w:hint="eastAsia" w:ascii="仿宋_GB2312" w:eastAsia="仿宋_GB2312"/>
          <w:sz w:val="32"/>
          <w:szCs w:val="32"/>
        </w:rPr>
        <w:t>年预算编制除实行企业化管理的事业单位外，所有预算部门都编制了部门预算，做到了一个部门一本预算，并将部门及所属单位所有收入全部纳入部门预算，部门支出预算统筹各类收入，按基本支出、项目支出分别编制。项目支出均按照省财政厅规定的12大类30小类的项目分类和编报模式，编制项目预算。以绩效为导向审核预算，将绩效目标指标审核作为安排预算的前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（六）严格预算执行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规定程序和时限要求加快预算批复下达，强化预算执行管理，严格预算执行进度考核机制，实行执行进度通报制，建立预算执行与下年安排挂钩机制，促进部门加快执行进度。把绩效运行作为财政预算执行监控的主要内容之一，按照年初确定的绩效目标指标，动态监控各项资金支出和项目运行，及时纠正出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（八）完善预算标准体系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按照省财政厅要求健全基本支出定额标准体系，加快项目支出定额标准体系建设。完善人员编制管理、资产管理与预算编制相结合的机制，建立部门预算基础信息库，夯实基本支出预算管理基础工作开展。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（九）夯实预决算公开工作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eastAsia="仿宋_GB2312"/>
          <w:sz w:val="32"/>
          <w:szCs w:val="32"/>
        </w:rPr>
      </w:pPr>
      <w:r>
        <w:rPr>
          <w:rFonts w:hint="eastAsia" w:ascii="仿宋_GB2312" w:eastAsia="仿宋_GB2312"/>
          <w:sz w:val="32"/>
          <w:szCs w:val="32"/>
        </w:rPr>
        <w:t>积极推进预决算公开工作制度的建设与完善。从新年伊始，在召开的各种会议上均对预决算公开工作做出重点强调，并在印发的《怀来县财政局关于进一步做好</w:t>
      </w:r>
      <w:r>
        <w:rPr>
          <w:rFonts w:hint="eastAsia" w:ascii="仿宋_GB2312"/>
          <w:sz w:val="32"/>
          <w:szCs w:val="32"/>
          <w:lang w:eastAsia="zh-CN"/>
        </w:rPr>
        <w:t>2020</w:t>
      </w:r>
      <w:r>
        <w:rPr>
          <w:rFonts w:hint="eastAsia" w:ascii="仿宋_GB2312" w:eastAsia="仿宋_GB2312"/>
          <w:sz w:val="32"/>
          <w:szCs w:val="32"/>
        </w:rPr>
        <w:t>年预算公开工作的通知》（怀财字﹝</w:t>
      </w:r>
      <w:r>
        <w:rPr>
          <w:rFonts w:hint="eastAsia" w:ascii="仿宋_GB2312"/>
          <w:sz w:val="32"/>
          <w:szCs w:val="32"/>
          <w:lang w:eastAsia="zh-CN"/>
        </w:rPr>
        <w:t>2020</w:t>
      </w:r>
      <w:r>
        <w:rPr>
          <w:rFonts w:hint="eastAsia" w:ascii="仿宋_GB2312" w:eastAsia="仿宋_GB2312"/>
          <w:sz w:val="32"/>
          <w:szCs w:val="32"/>
        </w:rPr>
        <w:t>﹞</w:t>
      </w:r>
      <w:r>
        <w:rPr>
          <w:rFonts w:hint="eastAsia" w:ascii="仿宋_GB2312"/>
          <w:sz w:val="32"/>
          <w:szCs w:val="32"/>
          <w:lang w:val="en-US" w:eastAsia="zh-CN"/>
        </w:rPr>
        <w:t>12</w:t>
      </w:r>
      <w:r>
        <w:rPr>
          <w:rFonts w:hint="eastAsia" w:ascii="仿宋_GB2312" w:eastAsia="仿宋_GB2312"/>
          <w:sz w:val="32"/>
          <w:szCs w:val="32"/>
        </w:rPr>
        <w:t>号）</w:t>
      </w:r>
      <w:r>
        <w:rPr>
          <w:rFonts w:hint="eastAsia" w:ascii="仿宋_GB2312"/>
          <w:sz w:val="32"/>
          <w:szCs w:val="32"/>
          <w:lang w:eastAsia="zh-CN"/>
        </w:rPr>
        <w:t>，</w:t>
      </w:r>
      <w:r>
        <w:rPr>
          <w:rFonts w:hint="eastAsia" w:ascii="仿宋_GB2312" w:eastAsia="仿宋_GB2312"/>
          <w:sz w:val="32"/>
          <w:szCs w:val="32"/>
        </w:rPr>
        <w:t>文件中对预算公开主体、公开时限、公开内容、公开质量、公开渠道及其他相关事项提出了详细的操作要求，并随文件提供相关的预决算公开附件及模版以便于预算部门统一标准完成公开工作。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eastAsia="仿宋_GB2312"/>
          <w:sz w:val="32"/>
          <w:szCs w:val="32"/>
        </w:rPr>
      </w:pPr>
    </w:p>
    <w:p>
      <w:pP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五、政府采购情况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2023年县本级政府采购预算项目资金安排万元。按55448.40采购类别分：货物类11914.25万元、工程类28883.48万元、服务类万14650.67元；按资金来源性质分：一般公共预算43389.90万元、政府性基金预算8827万元、上年结转结余3231.50万元。2023年本级政府采购预算编制要求为：凡符合《河北省集中采购目录及政府采购限额标准》的，全面编列部门政府采购预算。2023年县级政府采购限额标准为：单项或批量采购预算金额30万元（不含）以下的，不需办理政府采购手续；公开招标限额标准为：货物类和服务类200万元（含），工程类按照相关规定执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六、其他重要事项解释说明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2098" w:right="1474" w:bottom="2098" w:left="1587" w:header="851" w:footer="992" w:gutter="0"/>
      <w:cols w:space="0" w:num="1"/>
      <w:rtlGutter w:val="0"/>
      <w:docGrid w:type="linesAndChars" w:linePitch="486"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C39A"/>
    <w:multiLevelType w:val="singleLevel"/>
    <w:tmpl w:val="5B78C39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2I4MDJjOGU5OTBmNWI0NzcxMzNjZTBkYzZiYmUifQ=="/>
  </w:docVars>
  <w:rsids>
    <w:rsidRoot w:val="00000000"/>
    <w:rsid w:val="03535A8D"/>
    <w:rsid w:val="03932D7C"/>
    <w:rsid w:val="04864B9D"/>
    <w:rsid w:val="05EB3BF0"/>
    <w:rsid w:val="05EE0C64"/>
    <w:rsid w:val="06186BF5"/>
    <w:rsid w:val="071902A1"/>
    <w:rsid w:val="0E101645"/>
    <w:rsid w:val="0F490407"/>
    <w:rsid w:val="133E2880"/>
    <w:rsid w:val="14B818D0"/>
    <w:rsid w:val="15055C1B"/>
    <w:rsid w:val="15976535"/>
    <w:rsid w:val="161956EB"/>
    <w:rsid w:val="165B1A18"/>
    <w:rsid w:val="17CE3757"/>
    <w:rsid w:val="1B183B77"/>
    <w:rsid w:val="1D690C3F"/>
    <w:rsid w:val="1D8C1543"/>
    <w:rsid w:val="1D9D5AA3"/>
    <w:rsid w:val="1E5B3E0B"/>
    <w:rsid w:val="1F8B1147"/>
    <w:rsid w:val="20745B9A"/>
    <w:rsid w:val="20F77F42"/>
    <w:rsid w:val="225F2423"/>
    <w:rsid w:val="23CB5361"/>
    <w:rsid w:val="26A67B17"/>
    <w:rsid w:val="2A2F7DDA"/>
    <w:rsid w:val="2AE05519"/>
    <w:rsid w:val="30637C21"/>
    <w:rsid w:val="336226DC"/>
    <w:rsid w:val="33694E93"/>
    <w:rsid w:val="33BB0CFE"/>
    <w:rsid w:val="33C70DEA"/>
    <w:rsid w:val="34023218"/>
    <w:rsid w:val="37D04F1C"/>
    <w:rsid w:val="38746528"/>
    <w:rsid w:val="3AA67D01"/>
    <w:rsid w:val="3F326C68"/>
    <w:rsid w:val="4078446B"/>
    <w:rsid w:val="42B20281"/>
    <w:rsid w:val="42B24614"/>
    <w:rsid w:val="43921D40"/>
    <w:rsid w:val="448C14AA"/>
    <w:rsid w:val="4511235F"/>
    <w:rsid w:val="46C670DC"/>
    <w:rsid w:val="479B7539"/>
    <w:rsid w:val="48230C72"/>
    <w:rsid w:val="49F52A38"/>
    <w:rsid w:val="4CAC3921"/>
    <w:rsid w:val="4E37530E"/>
    <w:rsid w:val="4EB843B5"/>
    <w:rsid w:val="4F810503"/>
    <w:rsid w:val="50AA6C80"/>
    <w:rsid w:val="51604F03"/>
    <w:rsid w:val="52BA35DE"/>
    <w:rsid w:val="53A6282B"/>
    <w:rsid w:val="54DF2F34"/>
    <w:rsid w:val="54FE5304"/>
    <w:rsid w:val="582F554F"/>
    <w:rsid w:val="58C442AB"/>
    <w:rsid w:val="592B2027"/>
    <w:rsid w:val="5A9B7BE2"/>
    <w:rsid w:val="5AF37FAE"/>
    <w:rsid w:val="5C2048A6"/>
    <w:rsid w:val="5C436463"/>
    <w:rsid w:val="5C9F2793"/>
    <w:rsid w:val="5DEC0DF7"/>
    <w:rsid w:val="5E483810"/>
    <w:rsid w:val="5EE147AD"/>
    <w:rsid w:val="5F5A5C53"/>
    <w:rsid w:val="60393E8A"/>
    <w:rsid w:val="604B0A22"/>
    <w:rsid w:val="62876321"/>
    <w:rsid w:val="63855092"/>
    <w:rsid w:val="64084ABD"/>
    <w:rsid w:val="64556826"/>
    <w:rsid w:val="64A54E6F"/>
    <w:rsid w:val="65747D81"/>
    <w:rsid w:val="66685DA0"/>
    <w:rsid w:val="67B67E16"/>
    <w:rsid w:val="67E241D0"/>
    <w:rsid w:val="680E14F8"/>
    <w:rsid w:val="687C1074"/>
    <w:rsid w:val="69353537"/>
    <w:rsid w:val="6A391E3C"/>
    <w:rsid w:val="6B5D0506"/>
    <w:rsid w:val="6D896835"/>
    <w:rsid w:val="6FC90F68"/>
    <w:rsid w:val="72932D4D"/>
    <w:rsid w:val="72A91EEE"/>
    <w:rsid w:val="77627230"/>
    <w:rsid w:val="7A0E496C"/>
    <w:rsid w:val="7A540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3443</Words>
  <Characters>3795</Characters>
  <Lines>0</Lines>
  <Paragraphs>0</Paragraphs>
  <TotalTime>35</TotalTime>
  <ScaleCrop>false</ScaleCrop>
  <LinksUpToDate>false</LinksUpToDate>
  <CharactersWithSpaces>3795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66</cp:lastModifiedBy>
  <cp:lastPrinted>2022-06-20T08:02:00Z</cp:lastPrinted>
  <dcterms:modified xsi:type="dcterms:W3CDTF">2023-07-21T07:06:22Z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A608ADDE0D5A48EABE278C66D780B775</vt:lpwstr>
  </property>
</Properties>
</file>