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b/>
          <w:color w:val="000000"/>
          <w:sz w:val="32"/>
          <w:szCs w:val="32"/>
        </w:rPr>
      </w:pPr>
    </w:p>
    <w:p>
      <w:pPr>
        <w:rPr>
          <w:rFonts w:ascii="仿宋" w:hAnsi="仿宋" w:eastAsia="仿宋" w:cs="仿宋"/>
          <w:b/>
          <w:color w:val="000000"/>
          <w:sz w:val="32"/>
          <w:szCs w:val="32"/>
        </w:rPr>
      </w:pPr>
    </w:p>
    <w:p>
      <w:pPr>
        <w:rPr>
          <w:rFonts w:ascii="仿宋" w:hAnsi="仿宋" w:eastAsia="仿宋" w:cs="仿宋"/>
          <w:b/>
          <w:color w:val="000000"/>
          <w:sz w:val="32"/>
          <w:szCs w:val="32"/>
        </w:rPr>
      </w:pPr>
    </w:p>
    <w:p>
      <w:pPr>
        <w:rPr>
          <w:rFonts w:ascii="仿宋" w:hAnsi="仿宋" w:eastAsia="仿宋" w:cs="仿宋"/>
          <w:b/>
          <w:color w:val="000000"/>
          <w:sz w:val="32"/>
          <w:szCs w:val="32"/>
        </w:rPr>
      </w:pPr>
    </w:p>
    <w:p>
      <w:pPr>
        <w:jc w:val="center"/>
        <w:rPr>
          <w:rFonts w:hint="eastAsia" w:ascii="楷体" w:hAnsi="楷体" w:eastAsia="楷体" w:cs="Times New Roman"/>
          <w:b/>
          <w:sz w:val="36"/>
          <w:szCs w:val="36"/>
          <w:lang w:eastAsia="zh-CN" w:bidi="ar"/>
        </w:rPr>
      </w:pPr>
      <w:r>
        <w:rPr>
          <w:rFonts w:hint="eastAsia" w:ascii="楷体" w:hAnsi="楷体" w:eastAsia="楷体" w:cs="Times New Roman"/>
          <w:b/>
          <w:sz w:val="36"/>
          <w:szCs w:val="36"/>
          <w:lang w:eastAsia="zh-CN" w:bidi="ar"/>
        </w:rPr>
        <w:t>怀来县机关事务服务中心</w:t>
      </w:r>
    </w:p>
    <w:p>
      <w:pPr>
        <w:jc w:val="center"/>
        <w:rPr>
          <w:rFonts w:hint="eastAsia" w:ascii="楷体" w:hAnsi="楷体" w:eastAsia="楷体" w:cs="Times New Roman"/>
          <w:b/>
          <w:sz w:val="36"/>
          <w:szCs w:val="36"/>
          <w:lang w:eastAsia="zh-CN"/>
        </w:rPr>
      </w:pPr>
      <w:r>
        <w:rPr>
          <w:rFonts w:hint="eastAsia" w:ascii="楷体" w:hAnsi="楷体" w:eastAsia="楷体" w:cs="Times New Roman"/>
          <w:b/>
          <w:sz w:val="36"/>
          <w:szCs w:val="36"/>
          <w:lang w:eastAsia="zh-CN" w:bidi="ar"/>
        </w:rPr>
        <w:t>202</w:t>
      </w:r>
      <w:r>
        <w:rPr>
          <w:rFonts w:hint="eastAsia" w:ascii="楷体" w:hAnsi="楷体" w:eastAsia="楷体" w:cs="Times New Roman"/>
          <w:b/>
          <w:sz w:val="36"/>
          <w:szCs w:val="36"/>
          <w:lang w:val="en-US" w:eastAsia="zh-CN" w:bidi="ar"/>
        </w:rPr>
        <w:t>2</w:t>
      </w:r>
      <w:r>
        <w:rPr>
          <w:rFonts w:hint="eastAsia" w:ascii="楷体" w:hAnsi="楷体" w:eastAsia="楷体" w:cs="Times New Roman"/>
          <w:b/>
          <w:sz w:val="36"/>
          <w:szCs w:val="36"/>
          <w:lang w:eastAsia="zh-CN" w:bidi="ar"/>
        </w:rPr>
        <w:t>年度政府大楼运行经费项目</w:t>
      </w:r>
    </w:p>
    <w:p>
      <w:pPr>
        <w:jc w:val="center"/>
        <w:rPr>
          <w:rFonts w:ascii="黑体" w:eastAsia="黑体" w:cs="黑体"/>
          <w:b/>
          <w:sz w:val="32"/>
          <w:szCs w:val="32"/>
        </w:rPr>
      </w:pPr>
    </w:p>
    <w:p>
      <w:pPr>
        <w:adjustRightInd w:val="0"/>
        <w:snapToGrid w:val="0"/>
        <w:spacing w:line="0" w:lineRule="atLeast"/>
        <w:jc w:val="center"/>
        <w:rPr>
          <w:rFonts w:ascii="黑体" w:eastAsia="黑体" w:cs="Times New Roman"/>
          <w:b/>
          <w:sz w:val="72"/>
          <w:szCs w:val="72"/>
          <w:lang w:val="zh-CN"/>
        </w:rPr>
      </w:pPr>
      <w:r>
        <w:rPr>
          <w:rFonts w:hint="eastAsia" w:ascii="黑体" w:eastAsia="黑体" w:cs="Times New Roman"/>
          <w:b/>
          <w:sz w:val="72"/>
          <w:szCs w:val="72"/>
          <w:lang w:val="zh-CN" w:bidi="ar"/>
        </w:rPr>
        <w:t xml:space="preserve">绩 效 </w:t>
      </w:r>
      <w:r>
        <w:rPr>
          <w:rFonts w:hint="eastAsia" w:ascii="黑体" w:eastAsia="黑体" w:cs="Times New Roman"/>
          <w:b/>
          <w:sz w:val="72"/>
          <w:szCs w:val="72"/>
          <w:lang w:val="en-US" w:eastAsia="zh-CN" w:bidi="ar"/>
        </w:rPr>
        <w:t>自 评</w:t>
      </w:r>
      <w:r>
        <w:rPr>
          <w:rFonts w:hint="eastAsia" w:ascii="黑体" w:eastAsia="黑体" w:cs="Times New Roman"/>
          <w:b/>
          <w:sz w:val="72"/>
          <w:szCs w:val="72"/>
          <w:lang w:val="zh-CN" w:bidi="ar"/>
        </w:rPr>
        <w:t xml:space="preserve"> 报 告</w:t>
      </w:r>
    </w:p>
    <w:p>
      <w:pPr>
        <w:spacing w:before="156" w:beforeLines="50" w:after="156" w:afterLines="50" w:line="360" w:lineRule="auto"/>
        <w:rPr>
          <w:rFonts w:ascii="黑体" w:eastAsia="黑体" w:cs="仿宋"/>
          <w:b/>
          <w:sz w:val="32"/>
          <w:szCs w:val="32"/>
        </w:rPr>
      </w:pPr>
    </w:p>
    <w:p>
      <w:pPr>
        <w:spacing w:before="156" w:beforeLines="50" w:after="156" w:afterLines="50" w:line="360" w:lineRule="auto"/>
        <w:rPr>
          <w:rFonts w:ascii="黑体" w:eastAsia="黑体" w:cs="仿宋"/>
          <w:b/>
          <w:sz w:val="32"/>
          <w:szCs w:val="32"/>
        </w:rPr>
      </w:pPr>
    </w:p>
    <w:p>
      <w:pPr>
        <w:spacing w:before="156" w:beforeLines="50" w:after="156" w:afterLines="50" w:line="360" w:lineRule="auto"/>
        <w:rPr>
          <w:rFonts w:ascii="黑体" w:eastAsia="黑体" w:cs="仿宋"/>
          <w:b/>
          <w:sz w:val="32"/>
          <w:szCs w:val="32"/>
        </w:rPr>
      </w:pPr>
    </w:p>
    <w:p>
      <w:pPr>
        <w:spacing w:before="156" w:beforeLines="50" w:after="156" w:afterLines="50" w:line="360" w:lineRule="auto"/>
        <w:rPr>
          <w:rFonts w:ascii="黑体" w:eastAsia="黑体" w:cs="仿宋"/>
          <w:b/>
          <w:sz w:val="32"/>
          <w:szCs w:val="32"/>
        </w:rPr>
      </w:pPr>
    </w:p>
    <w:p>
      <w:pPr>
        <w:spacing w:before="156" w:beforeLines="50" w:after="156" w:afterLines="50" w:line="360" w:lineRule="auto"/>
        <w:rPr>
          <w:rFonts w:ascii="仿宋" w:hAnsi="仿宋" w:eastAsia="仿宋" w:cs="仿宋"/>
          <w:b/>
          <w:sz w:val="32"/>
          <w:szCs w:val="32"/>
        </w:rPr>
      </w:pPr>
    </w:p>
    <w:p>
      <w:pPr>
        <w:spacing w:before="156" w:beforeLines="50" w:after="156" w:afterLines="50" w:line="360" w:lineRule="auto"/>
        <w:jc w:val="center"/>
        <w:rPr>
          <w:rFonts w:ascii="仿宋" w:hAnsi="仿宋" w:eastAsia="仿宋" w:cs="仿宋"/>
          <w:b/>
          <w:sz w:val="32"/>
          <w:szCs w:val="32"/>
        </w:rPr>
      </w:pPr>
    </w:p>
    <w:p>
      <w:pPr>
        <w:spacing w:line="600" w:lineRule="exact"/>
        <w:jc w:val="center"/>
        <w:rPr>
          <w:rFonts w:ascii="仿宋" w:hAnsi="仿宋" w:eastAsia="仿宋" w:cs="Times New Roman"/>
          <w:b/>
          <w:sz w:val="32"/>
          <w:szCs w:val="32"/>
          <w:lang w:val="zh-CN"/>
        </w:rPr>
      </w:pPr>
    </w:p>
    <w:p>
      <w:r>
        <w:br w:type="page"/>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Arial"/>
          <w:sz w:val="32"/>
          <w:szCs w:val="32"/>
        </w:rPr>
        <w:t>为加强财政资金绩效管理，提高财政资金使用效益，根据《中华人民共和国预算法》</w:t>
      </w:r>
      <w:r>
        <w:rPr>
          <w:rFonts w:hint="eastAsia" w:ascii="仿宋_GB2312" w:hAnsi="仿宋" w:eastAsia="仿宋_GB2312" w:cs="Arial"/>
          <w:sz w:val="32"/>
          <w:szCs w:val="32"/>
          <w:lang w:eastAsia="zh-CN"/>
        </w:rPr>
        <w:t>、</w:t>
      </w:r>
      <w:r>
        <w:rPr>
          <w:rFonts w:hint="eastAsia" w:ascii="仿宋_GB2312" w:hAnsi="仿宋" w:eastAsia="仿宋_GB2312" w:cs="Arial"/>
          <w:sz w:val="32"/>
          <w:szCs w:val="32"/>
        </w:rPr>
        <w:t>《中共中央国务院关于全面实施预算绩效管理的意见》</w:t>
      </w:r>
      <w:r>
        <w:rPr>
          <w:rFonts w:hint="eastAsia" w:ascii="仿宋_GB2312" w:hAnsi="仿宋" w:eastAsia="仿宋_GB2312" w:cs="Arial"/>
          <w:sz w:val="32"/>
          <w:szCs w:val="32"/>
          <w:lang w:eastAsia="zh-CN"/>
        </w:rPr>
        <w:t>、</w:t>
      </w:r>
      <w:r>
        <w:rPr>
          <w:rFonts w:hint="eastAsia" w:ascii="仿宋_GB2312" w:hAnsi="仿宋" w:eastAsia="仿宋_GB2312" w:cs="仿宋"/>
          <w:sz w:val="32"/>
          <w:szCs w:val="32"/>
          <w:lang w:bidi="ar"/>
        </w:rPr>
        <w:t>《张家口市全面实施预算绩效管理推进工作方案》（张发〔2019）7号）、《项目支出绩效评价管理办法》（张财字〔2020）74号）、《张家口市市级部门预算绩效管理暂行办法》（张财字〔2020）75号）等</w:t>
      </w:r>
      <w:r>
        <w:rPr>
          <w:rFonts w:hint="eastAsia" w:ascii="仿宋_GB2312" w:hAnsi="仿宋" w:eastAsia="仿宋_GB2312" w:cs="Arial"/>
          <w:sz w:val="32"/>
          <w:szCs w:val="32"/>
        </w:rPr>
        <w:t>相关文件规定，</w:t>
      </w:r>
      <w:r>
        <w:rPr>
          <w:rFonts w:hint="eastAsia" w:ascii="仿宋_GB2312" w:hAnsi="仿宋" w:eastAsia="仿宋_GB2312" w:cs="仿宋"/>
          <w:sz w:val="32"/>
          <w:szCs w:val="32"/>
          <w:highlight w:val="none"/>
          <w:lang w:eastAsia="zh-CN"/>
        </w:rPr>
        <w:t>怀来县机关事务服务中心</w:t>
      </w:r>
      <w:r>
        <w:rPr>
          <w:rFonts w:hint="eastAsia" w:ascii="仿宋_GB2312" w:hAnsi="仿宋" w:eastAsia="仿宋_GB2312" w:cs="仿宋"/>
          <w:sz w:val="32"/>
          <w:szCs w:val="32"/>
          <w:highlight w:val="none"/>
          <w:lang w:val="en-US" w:eastAsia="zh-CN"/>
        </w:rPr>
        <w:t>对</w:t>
      </w:r>
      <w:r>
        <w:rPr>
          <w:rFonts w:hint="eastAsia" w:ascii="仿宋_GB2312" w:hAnsi="仿宋" w:eastAsia="仿宋_GB2312" w:cs="仿宋"/>
          <w:sz w:val="32"/>
          <w:szCs w:val="32"/>
          <w:lang w:eastAsia="zh-CN" w:bidi="ar"/>
        </w:rPr>
        <w:t>202</w:t>
      </w:r>
      <w:r>
        <w:rPr>
          <w:rFonts w:hint="eastAsia" w:ascii="仿宋_GB2312" w:hAnsi="仿宋" w:eastAsia="仿宋_GB2312" w:cs="仿宋"/>
          <w:sz w:val="32"/>
          <w:szCs w:val="32"/>
          <w:lang w:val="en-US" w:eastAsia="zh-CN" w:bidi="ar"/>
        </w:rPr>
        <w:t>2</w:t>
      </w:r>
      <w:r>
        <w:rPr>
          <w:rFonts w:hint="eastAsia" w:ascii="仿宋_GB2312" w:hAnsi="仿宋" w:eastAsia="仿宋_GB2312" w:cs="仿宋"/>
          <w:sz w:val="32"/>
          <w:szCs w:val="32"/>
          <w:lang w:eastAsia="zh-CN" w:bidi="ar"/>
        </w:rPr>
        <w:t>年度政府大楼运行经费项目</w:t>
      </w:r>
      <w:r>
        <w:rPr>
          <w:rFonts w:hint="eastAsia" w:ascii="仿宋_GB2312" w:hAnsi="仿宋" w:eastAsia="仿宋_GB2312" w:cs="仿宋"/>
          <w:sz w:val="32"/>
          <w:szCs w:val="32"/>
          <w:lang w:bidi="ar"/>
        </w:rPr>
        <w:t>进行绩效评价。</w:t>
      </w:r>
      <w:r>
        <w:rPr>
          <w:rFonts w:hint="eastAsia" w:ascii="仿宋_GB2312" w:hAnsi="仿宋" w:eastAsia="仿宋_GB2312" w:cs="仿宋"/>
          <w:sz w:val="32"/>
          <w:szCs w:val="32"/>
          <w:lang w:eastAsia="zh-CN"/>
        </w:rPr>
        <w:t>根据</w:t>
      </w:r>
      <w:r>
        <w:rPr>
          <w:rFonts w:hint="eastAsia" w:ascii="仿宋_GB2312" w:hAnsi="仿宋" w:eastAsia="仿宋_GB2312" w:cs="仿宋"/>
          <w:sz w:val="32"/>
          <w:szCs w:val="32"/>
          <w:lang w:val="en-US" w:eastAsia="zh-CN"/>
        </w:rPr>
        <w:t>我单位的</w:t>
      </w:r>
      <w:r>
        <w:rPr>
          <w:rFonts w:hint="eastAsia" w:ascii="仿宋_GB2312" w:hAnsi="仿宋" w:eastAsia="仿宋_GB2312" w:cs="仿宋"/>
          <w:sz w:val="32"/>
          <w:szCs w:val="32"/>
        </w:rPr>
        <w:t>项目资料、执行过程材料、成果、财务凭证、总结报告等资料的基础上，对项目进行综合评价，现将有关情况报告如下。</w:t>
      </w:r>
    </w:p>
    <w:p>
      <w:pPr>
        <w:adjustRightInd w:val="0"/>
        <w:snapToGrid w:val="0"/>
        <w:spacing w:line="600" w:lineRule="exact"/>
        <w:ind w:firstLine="640" w:firstLineChars="200"/>
        <w:outlineLvl w:val="0"/>
        <w:rPr>
          <w:rFonts w:ascii="黑体" w:eastAsia="黑体" w:cs="黑体"/>
          <w:sz w:val="32"/>
          <w:szCs w:val="32"/>
        </w:rPr>
      </w:pPr>
      <w:bookmarkStart w:id="0" w:name="_Toc43820984"/>
      <w:r>
        <w:rPr>
          <w:rFonts w:hint="eastAsia" w:ascii="黑体" w:eastAsia="黑体" w:cs="黑体"/>
          <w:sz w:val="32"/>
          <w:szCs w:val="32"/>
          <w:lang w:bidi="ar"/>
        </w:rPr>
        <w:t>一、项目基本情况</w:t>
      </w:r>
      <w:bookmarkEnd w:id="0"/>
    </w:p>
    <w:p>
      <w:pPr>
        <w:adjustRightInd w:val="0"/>
        <w:snapToGrid w:val="0"/>
        <w:spacing w:line="600" w:lineRule="exact"/>
        <w:ind w:firstLine="640" w:firstLineChars="200"/>
        <w:outlineLvl w:val="1"/>
        <w:rPr>
          <w:rFonts w:hint="eastAsia" w:ascii="楷体" w:hAnsi="楷体" w:eastAsia="楷体" w:cs="仿宋"/>
          <w:b/>
          <w:bCs/>
          <w:sz w:val="32"/>
          <w:szCs w:val="32"/>
          <w:lang w:eastAsia="zh-CN" w:bidi="ar"/>
        </w:rPr>
      </w:pPr>
      <w:bookmarkStart w:id="1" w:name="_Toc36216435"/>
      <w:bookmarkStart w:id="2" w:name="_Toc43820985"/>
      <w:r>
        <w:rPr>
          <w:rFonts w:hint="eastAsia" w:ascii="楷体" w:hAnsi="楷体" w:eastAsia="楷体" w:cs="仿宋"/>
          <w:b/>
          <w:bCs/>
          <w:sz w:val="32"/>
          <w:szCs w:val="32"/>
          <w:lang w:bidi="ar"/>
        </w:rPr>
        <w:t>（一）项目</w:t>
      </w:r>
      <w:bookmarkEnd w:id="1"/>
      <w:bookmarkEnd w:id="2"/>
      <w:r>
        <w:rPr>
          <w:rFonts w:hint="eastAsia" w:ascii="楷体" w:hAnsi="楷体" w:eastAsia="楷体" w:cs="仿宋"/>
          <w:b/>
          <w:bCs/>
          <w:sz w:val="32"/>
          <w:szCs w:val="32"/>
          <w:lang w:eastAsia="zh-CN" w:bidi="ar"/>
        </w:rPr>
        <w:t>概况</w:t>
      </w:r>
    </w:p>
    <w:p>
      <w:pPr>
        <w:adjustRightInd w:val="0"/>
        <w:snapToGrid w:val="0"/>
        <w:spacing w:line="600" w:lineRule="exact"/>
        <w:ind w:firstLine="640" w:firstLineChars="200"/>
        <w:outlineLvl w:val="2"/>
        <w:rPr>
          <w:rFonts w:hint="eastAsia" w:ascii="仿宋_GB2312" w:hAnsi="仿宋" w:eastAsia="仿宋_GB2312" w:cs="仿宋"/>
          <w:b/>
          <w:bCs/>
          <w:sz w:val="32"/>
          <w:szCs w:val="32"/>
          <w:highlight w:val="none"/>
          <w:lang w:val="en-US" w:eastAsia="zh-CN" w:bidi="ar"/>
        </w:rPr>
      </w:pPr>
      <w:bookmarkStart w:id="3" w:name="_Toc43820988"/>
      <w:bookmarkStart w:id="4" w:name="_Toc36107442"/>
      <w:bookmarkStart w:id="5" w:name="_Toc36216438"/>
      <w:r>
        <w:rPr>
          <w:rFonts w:hint="eastAsia" w:ascii="仿宋_GB2312" w:hAnsi="仿宋" w:eastAsia="仿宋_GB2312" w:cs="仿宋"/>
          <w:b/>
          <w:bCs/>
          <w:sz w:val="32"/>
          <w:szCs w:val="32"/>
          <w:highlight w:val="none"/>
          <w:lang w:val="en-US" w:eastAsia="zh-CN" w:bidi="ar"/>
        </w:rPr>
        <w:t>1.项目实施单位基本情况</w:t>
      </w:r>
    </w:p>
    <w:p>
      <w:pPr>
        <w:adjustRightInd w:val="0"/>
        <w:snapToGrid w:val="0"/>
        <w:spacing w:line="600" w:lineRule="exact"/>
        <w:ind w:firstLine="640" w:firstLineChars="200"/>
        <w:outlineLvl w:val="2"/>
        <w:rPr>
          <w:rFonts w:hint="default" w:ascii="仿宋_GB2312" w:hAnsi="仿宋" w:eastAsia="仿宋_GB2312" w:cs="仿宋"/>
          <w:b w:val="0"/>
          <w:bCs w:val="0"/>
          <w:sz w:val="32"/>
          <w:szCs w:val="32"/>
          <w:highlight w:val="none"/>
          <w:lang w:val="en-US" w:eastAsia="zh-CN" w:bidi="ar"/>
        </w:rPr>
      </w:pPr>
      <w:r>
        <w:rPr>
          <w:rFonts w:hint="eastAsia" w:ascii="仿宋_GB2312" w:hAnsi="仿宋" w:eastAsia="仿宋_GB2312" w:cs="仿宋"/>
          <w:b w:val="0"/>
          <w:bCs w:val="0"/>
          <w:sz w:val="32"/>
          <w:szCs w:val="32"/>
          <w:highlight w:val="none"/>
          <w:lang w:val="en-US" w:eastAsia="zh-CN" w:bidi="ar"/>
        </w:rPr>
        <w:t>（1）部门职能</w:t>
      </w:r>
    </w:p>
    <w:p>
      <w:pPr>
        <w:adjustRightInd w:val="0"/>
        <w:snapToGrid w:val="0"/>
        <w:spacing w:line="600" w:lineRule="exact"/>
        <w:ind w:firstLine="640" w:firstLineChars="200"/>
        <w:outlineLvl w:val="2"/>
        <w:rPr>
          <w:rFonts w:hint="eastAsia" w:ascii="仿宋_GB2312" w:hAnsi="仿宋" w:eastAsia="仿宋_GB2312" w:cs="仿宋"/>
          <w:b w:val="0"/>
          <w:bCs w:val="0"/>
          <w:sz w:val="32"/>
          <w:szCs w:val="32"/>
          <w:highlight w:val="none"/>
          <w:lang w:val="en-US" w:eastAsia="zh-CN" w:bidi="ar"/>
        </w:rPr>
      </w:pPr>
      <w:r>
        <w:rPr>
          <w:rFonts w:hint="eastAsia" w:ascii="仿宋_GB2312" w:hAnsi="仿宋" w:eastAsia="仿宋_GB2312" w:cs="仿宋"/>
          <w:b w:val="0"/>
          <w:bCs w:val="0"/>
          <w:sz w:val="32"/>
          <w:szCs w:val="32"/>
          <w:highlight w:val="none"/>
          <w:lang w:val="en-US" w:eastAsia="zh-CN" w:bidi="ar"/>
        </w:rPr>
        <w:t>2022年6月23日中共怀来县委机构编制委员会关于怀来县机关事务服务中心机构编制的批复（怀机编[2022]13号）文件，将原名称怀来县县委政府机关事务局变更为怀来县机关事务服务中心。</w:t>
      </w:r>
    </w:p>
    <w:p>
      <w:pPr>
        <w:adjustRightInd w:val="0"/>
        <w:snapToGrid w:val="0"/>
        <w:spacing w:line="600" w:lineRule="exact"/>
        <w:ind w:firstLine="640" w:firstLineChars="200"/>
        <w:outlineLvl w:val="2"/>
        <w:rPr>
          <w:rFonts w:hint="eastAsia" w:ascii="仿宋_GB2312" w:hAnsi="仿宋" w:eastAsia="仿宋_GB2312" w:cs="仿宋"/>
          <w:b w:val="0"/>
          <w:bCs w:val="0"/>
          <w:sz w:val="32"/>
          <w:szCs w:val="32"/>
          <w:highlight w:val="none"/>
          <w:lang w:val="en-US" w:eastAsia="zh-CN" w:bidi="ar"/>
        </w:rPr>
      </w:pPr>
      <w:r>
        <w:rPr>
          <w:rFonts w:hint="eastAsia" w:ascii="仿宋_GB2312" w:hAnsi="仿宋" w:eastAsia="仿宋_GB2312" w:cs="仿宋"/>
          <w:b w:val="0"/>
          <w:bCs w:val="0"/>
          <w:sz w:val="32"/>
          <w:szCs w:val="32"/>
          <w:highlight w:val="none"/>
          <w:lang w:val="en-US" w:eastAsia="zh-CN" w:bidi="ar"/>
        </w:rPr>
        <w:t>怀来县机关事务服务中心为怀来县政府所属相当科级事业单位，经费形式为财政性资金基本保证。根据《怀来县机关事务服务中心部门职能配置、内设机构和人员编制规定》，怀来县机关事务服务中心部门的主要职责是：</w:t>
      </w:r>
    </w:p>
    <w:p>
      <w:pPr>
        <w:adjustRightInd w:val="0"/>
        <w:snapToGrid w:val="0"/>
        <w:spacing w:line="600" w:lineRule="exact"/>
        <w:ind w:firstLine="640" w:firstLineChars="200"/>
        <w:outlineLvl w:val="2"/>
        <w:rPr>
          <w:rFonts w:hint="eastAsia" w:ascii="仿宋_GB2312" w:hAnsi="仿宋" w:eastAsia="仿宋_GB2312" w:cs="仿宋"/>
          <w:b w:val="0"/>
          <w:bCs w:val="0"/>
          <w:sz w:val="32"/>
          <w:szCs w:val="32"/>
          <w:highlight w:val="none"/>
          <w:lang w:val="en-US" w:eastAsia="zh-CN" w:bidi="ar"/>
        </w:rPr>
      </w:pPr>
      <w:r>
        <w:rPr>
          <w:rFonts w:hint="eastAsia" w:ascii="仿宋_GB2312" w:hAnsi="仿宋" w:eastAsia="仿宋_GB2312" w:cs="仿宋"/>
          <w:b w:val="0"/>
          <w:bCs w:val="0"/>
          <w:sz w:val="32"/>
          <w:szCs w:val="32"/>
          <w:highlight w:val="none"/>
          <w:lang w:val="en-US" w:eastAsia="zh-CN" w:bidi="ar"/>
        </w:rPr>
        <w:t>节能管理，县直部门机关后勤服务，县公共机构节能管理，公务用车管理，机关办公用房管理，承担本部门业务和事务管理。</w:t>
      </w:r>
    </w:p>
    <w:p>
      <w:pPr>
        <w:adjustRightInd w:val="0"/>
        <w:snapToGrid w:val="0"/>
        <w:spacing w:line="600" w:lineRule="exact"/>
        <w:ind w:firstLine="640" w:firstLineChars="200"/>
        <w:outlineLvl w:val="2"/>
        <w:rPr>
          <w:rFonts w:hint="eastAsia" w:ascii="仿宋_GB2312" w:hAnsi="仿宋" w:eastAsia="仿宋_GB2312" w:cs="仿宋"/>
          <w:b w:val="0"/>
          <w:bCs w:val="0"/>
          <w:sz w:val="32"/>
          <w:szCs w:val="32"/>
          <w:highlight w:val="none"/>
          <w:lang w:val="en-US" w:eastAsia="zh-CN" w:bidi="ar"/>
        </w:rPr>
      </w:pPr>
      <w:r>
        <w:rPr>
          <w:rFonts w:hint="eastAsia" w:ascii="仿宋_GB2312" w:hAnsi="仿宋" w:eastAsia="仿宋_GB2312" w:cs="仿宋"/>
          <w:b w:val="0"/>
          <w:bCs w:val="0"/>
          <w:sz w:val="32"/>
          <w:szCs w:val="32"/>
          <w:highlight w:val="none"/>
          <w:lang w:val="en-US" w:eastAsia="zh-CN" w:bidi="ar"/>
        </w:rPr>
        <w:t>指导并组织实施机关事务工作人员岗位培训，按规定对单位工人岗位技术等级考核；指导、协调机关大院绿化、卫生、安全、环境综合事项等。</w:t>
      </w:r>
    </w:p>
    <w:p>
      <w:pPr>
        <w:adjustRightInd w:val="0"/>
        <w:snapToGrid w:val="0"/>
        <w:spacing w:line="600" w:lineRule="exact"/>
        <w:ind w:firstLine="640" w:firstLineChars="200"/>
        <w:outlineLvl w:val="2"/>
        <w:rPr>
          <w:rFonts w:hint="eastAsia" w:ascii="仿宋_GB2312" w:hAnsi="仿宋" w:eastAsia="仿宋_GB2312" w:cs="仿宋"/>
          <w:b w:val="0"/>
          <w:bCs w:val="0"/>
          <w:sz w:val="32"/>
          <w:szCs w:val="32"/>
          <w:highlight w:val="none"/>
          <w:lang w:val="en-US" w:eastAsia="zh-CN" w:bidi="ar"/>
        </w:rPr>
      </w:pPr>
      <w:r>
        <w:rPr>
          <w:rFonts w:hint="eastAsia" w:ascii="仿宋_GB2312" w:hAnsi="仿宋" w:eastAsia="仿宋_GB2312" w:cs="仿宋"/>
          <w:b w:val="0"/>
          <w:bCs w:val="0"/>
          <w:sz w:val="32"/>
          <w:szCs w:val="32"/>
          <w:highlight w:val="none"/>
          <w:lang w:val="en-US" w:eastAsia="zh-CN" w:bidi="ar"/>
        </w:rPr>
        <w:t>机关大院后勤服务工作，机关大院运转维护；机关标准化建设、会务。办公楼机关食堂管理；机关办公楼修缮、供水、供电、供暖以及机关环境绿化美化、卫生保洁、安全保卫。</w:t>
      </w:r>
    </w:p>
    <w:p>
      <w:pPr>
        <w:numPr>
          <w:ilvl w:val="0"/>
          <w:numId w:val="1"/>
        </w:numPr>
        <w:adjustRightInd w:val="0"/>
        <w:snapToGrid w:val="0"/>
        <w:spacing w:line="600" w:lineRule="exact"/>
        <w:ind w:firstLine="640" w:firstLineChars="200"/>
        <w:outlineLvl w:val="2"/>
        <w:rPr>
          <w:rFonts w:hint="eastAsia" w:ascii="仿宋_GB2312" w:hAnsi="仿宋" w:eastAsia="仿宋_GB2312" w:cs="仿宋"/>
          <w:b w:val="0"/>
          <w:bCs w:val="0"/>
          <w:sz w:val="32"/>
          <w:szCs w:val="32"/>
          <w:highlight w:val="none"/>
          <w:lang w:val="en-US" w:eastAsia="zh-CN" w:bidi="ar"/>
        </w:rPr>
      </w:pPr>
      <w:r>
        <w:rPr>
          <w:rFonts w:hint="eastAsia" w:ascii="仿宋_GB2312" w:hAnsi="仿宋" w:eastAsia="仿宋_GB2312" w:cs="仿宋"/>
          <w:b w:val="0"/>
          <w:bCs w:val="0"/>
          <w:sz w:val="32"/>
          <w:szCs w:val="32"/>
          <w:highlight w:val="none"/>
          <w:lang w:val="en-US" w:eastAsia="zh-CN" w:bidi="ar"/>
        </w:rPr>
        <w:t>人员结构</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outlineLvl w:val="2"/>
        <w:rPr>
          <w:rFonts w:hint="default" w:ascii="仿宋_GB2312" w:hAnsi="仿宋" w:eastAsia="仿宋_GB2312" w:cs="仿宋"/>
          <w:b w:val="0"/>
          <w:bCs w:val="0"/>
          <w:sz w:val="32"/>
          <w:szCs w:val="32"/>
          <w:highlight w:val="none"/>
          <w:lang w:val="en-US" w:eastAsia="zh-CN" w:bidi="ar"/>
        </w:rPr>
      </w:pPr>
      <w:r>
        <w:rPr>
          <w:rFonts w:hint="default" w:ascii="仿宋_GB2312" w:hAnsi="仿宋" w:eastAsia="仿宋_GB2312" w:cs="仿宋"/>
          <w:b w:val="0"/>
          <w:bCs w:val="0"/>
          <w:sz w:val="32"/>
          <w:szCs w:val="32"/>
          <w:highlight w:val="none"/>
          <w:lang w:val="en-US" w:eastAsia="zh-CN" w:bidi="ar"/>
        </w:rPr>
        <w:t>中共怀来县委机构编制委员会关于怀来县机关事务服务中心机构编制的批复（怀机编[2022]13号）文件，怀来县机关事务服务中心核定事业编制18名（2021年度核定事业编制17名）。其中科级领导职数3名，主任1名（正科级）、副主任2名（副科级），股级领导职数8名。无下属机构。</w:t>
      </w:r>
    </w:p>
    <w:p>
      <w:pPr>
        <w:adjustRightInd w:val="0"/>
        <w:snapToGrid w:val="0"/>
        <w:spacing w:line="600" w:lineRule="exact"/>
        <w:ind w:firstLine="640" w:firstLineChars="200"/>
        <w:outlineLvl w:val="2"/>
        <w:rPr>
          <w:rFonts w:hint="default" w:ascii="仿宋_GB2312" w:hAnsi="仿宋" w:eastAsia="仿宋_GB2312" w:cs="仿宋"/>
          <w:b/>
          <w:bCs/>
          <w:sz w:val="32"/>
          <w:szCs w:val="32"/>
          <w:highlight w:val="none"/>
          <w:lang w:val="en-US" w:eastAsia="zh-CN" w:bidi="ar"/>
        </w:rPr>
      </w:pPr>
      <w:r>
        <w:rPr>
          <w:rFonts w:hint="eastAsia" w:ascii="仿宋_GB2312" w:hAnsi="仿宋" w:eastAsia="仿宋_GB2312" w:cs="仿宋"/>
          <w:b/>
          <w:bCs/>
          <w:sz w:val="32"/>
          <w:szCs w:val="32"/>
          <w:highlight w:val="none"/>
          <w:lang w:val="en-US" w:eastAsia="zh-CN" w:bidi="ar"/>
        </w:rPr>
        <w:t>2.项目内容</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政府楼运行项目功能编码为2010303，项目大类为专项业务，项目小类为专项事务支出，2022年政府楼运行费项目预算经费为1130.4万元，全部来自一般公共预算拨款。该项目主要用于保障机关大院水电暖供应，提供维修维护及卫生服务，进行全县节能管理，公车管理，办公用房管理。</w:t>
      </w:r>
    </w:p>
    <w:p>
      <w:pPr>
        <w:adjustRightInd w:val="0"/>
        <w:snapToGrid w:val="0"/>
        <w:spacing w:line="600" w:lineRule="exact"/>
        <w:ind w:firstLine="640" w:firstLineChars="200"/>
        <w:outlineLvl w:val="2"/>
        <w:rPr>
          <w:rFonts w:ascii="仿宋_GB2312" w:hAnsi="仿宋" w:eastAsia="仿宋_GB2312" w:cs="仿宋"/>
          <w:b/>
          <w:bCs/>
          <w:sz w:val="32"/>
          <w:szCs w:val="32"/>
          <w:highlight w:val="none"/>
          <w:lang w:bidi="ar"/>
        </w:rPr>
      </w:pPr>
      <w:r>
        <w:rPr>
          <w:rFonts w:hint="eastAsia" w:ascii="仿宋_GB2312" w:hAnsi="仿宋" w:eastAsia="仿宋_GB2312" w:cs="仿宋"/>
          <w:b/>
          <w:bCs/>
          <w:sz w:val="32"/>
          <w:szCs w:val="32"/>
          <w:highlight w:val="none"/>
          <w:lang w:bidi="ar"/>
        </w:rPr>
        <w:t>3.资金投入和使用情况</w:t>
      </w:r>
      <w:bookmarkEnd w:id="3"/>
      <w:bookmarkEnd w:id="4"/>
      <w:bookmarkEnd w:id="5"/>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bookmarkStart w:id="6" w:name="_Toc36216439"/>
      <w:bookmarkStart w:id="7" w:name="_Toc43820989"/>
      <w:r>
        <w:rPr>
          <w:rFonts w:hint="eastAsia" w:ascii="仿宋_GB2312" w:hAnsi="仿宋_GB2312" w:eastAsia="仿宋_GB2312" w:cs="仿宋_GB2312"/>
          <w:color w:val="000000"/>
          <w:kern w:val="0"/>
          <w:sz w:val="32"/>
          <w:szCs w:val="32"/>
          <w:highlight w:val="none"/>
          <w:lang w:val="en-US" w:eastAsia="zh-CN" w:bidi="ar"/>
        </w:rPr>
        <w:t>政府楼运行费用总额为1047.150179万元，全部来自一般公共预算，实际到位资金1047.150179万元，资金到位率100%，该项目本年度实际支出1047.150179万元，主要用于以下五方面：</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kern w:val="0"/>
          <w:sz w:val="32"/>
          <w:szCs w:val="32"/>
          <w:highlight w:val="none"/>
          <w:lang w:val="en-US" w:eastAsia="zh-CN" w:bidi="ar"/>
        </w:rPr>
      </w:pPr>
      <w:r>
        <w:rPr>
          <w:rFonts w:hint="default" w:ascii="仿宋_GB2312" w:hAnsi="仿宋_GB2312" w:eastAsia="仿宋_GB2312" w:cs="仿宋_GB2312"/>
          <w:color w:val="000000"/>
          <w:kern w:val="0"/>
          <w:sz w:val="32"/>
          <w:szCs w:val="32"/>
          <w:highlight w:val="none"/>
          <w:lang w:val="en-US" w:eastAsia="zh-CN" w:bidi="ar"/>
        </w:rPr>
        <w:t>一、保障政府大楼大院正常运行，对设备、基础设施进行经常性维修维护，确保政务大楼高效运转，提升机关食堂的伙食质量；</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二</w:t>
      </w:r>
      <w:r>
        <w:rPr>
          <w:rFonts w:hint="default" w:ascii="仿宋_GB2312" w:hAnsi="仿宋_GB2312" w:eastAsia="仿宋_GB2312" w:cs="仿宋_GB2312"/>
          <w:color w:val="000000"/>
          <w:kern w:val="0"/>
          <w:sz w:val="32"/>
          <w:szCs w:val="32"/>
          <w:highlight w:val="none"/>
          <w:lang w:val="en-US" w:eastAsia="zh-CN" w:bidi="ar"/>
        </w:rPr>
        <w:t>、负责天元办公楼的租赁，保障该办公楼正常运转；</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三</w:t>
      </w:r>
      <w:r>
        <w:rPr>
          <w:rFonts w:hint="default" w:ascii="仿宋_GB2312" w:hAnsi="仿宋_GB2312" w:eastAsia="仿宋_GB2312" w:cs="仿宋_GB2312"/>
          <w:color w:val="000000"/>
          <w:kern w:val="0"/>
          <w:sz w:val="32"/>
          <w:szCs w:val="32"/>
          <w:highlight w:val="none"/>
          <w:lang w:val="en-US" w:eastAsia="zh-CN" w:bidi="ar"/>
        </w:rPr>
        <w:t>、按时拨付政府楼水电费，做到节能减排、维护机关工作秩序和生活秩序；</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四</w:t>
      </w:r>
      <w:r>
        <w:rPr>
          <w:rFonts w:hint="default" w:ascii="仿宋_GB2312" w:hAnsi="仿宋_GB2312" w:eastAsia="仿宋_GB2312" w:cs="仿宋_GB2312"/>
          <w:color w:val="000000"/>
          <w:kern w:val="0"/>
          <w:sz w:val="32"/>
          <w:szCs w:val="32"/>
          <w:highlight w:val="none"/>
          <w:lang w:val="en-US" w:eastAsia="zh-CN" w:bidi="ar"/>
        </w:rPr>
        <w:t>、按时拨付政府楼取暖费，保障政府楼正常供暖；</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color w:val="000000"/>
          <w:kern w:val="0"/>
          <w:sz w:val="32"/>
          <w:szCs w:val="32"/>
          <w:highlight w:val="none"/>
          <w:lang w:val="en-US" w:eastAsia="zh-CN" w:bidi="ar"/>
        </w:rPr>
        <w:t>五</w:t>
      </w:r>
      <w:r>
        <w:rPr>
          <w:rFonts w:hint="default" w:ascii="仿宋_GB2312" w:hAnsi="仿宋_GB2312" w:eastAsia="仿宋_GB2312" w:cs="仿宋_GB2312"/>
          <w:color w:val="000000"/>
          <w:kern w:val="0"/>
          <w:sz w:val="32"/>
          <w:szCs w:val="32"/>
          <w:highlight w:val="none"/>
          <w:lang w:val="en-US" w:eastAsia="zh-CN" w:bidi="ar"/>
        </w:rPr>
        <w:t>、保障政府楼保洁卫生服务，维持大楼整洁卫生良好环境。</w:t>
      </w:r>
    </w:p>
    <w:p>
      <w:pPr>
        <w:adjustRightInd w:val="0"/>
        <w:snapToGrid w:val="0"/>
        <w:spacing w:line="600" w:lineRule="exact"/>
        <w:ind w:firstLine="640" w:firstLineChars="200"/>
        <w:outlineLvl w:val="1"/>
        <w:rPr>
          <w:rFonts w:ascii="楷体" w:hAnsi="楷体" w:eastAsia="楷体" w:cs="仿宋"/>
          <w:b/>
          <w:bCs/>
          <w:sz w:val="32"/>
          <w:szCs w:val="32"/>
          <w:highlight w:val="none"/>
          <w:lang w:bidi="ar"/>
        </w:rPr>
      </w:pPr>
      <w:r>
        <w:rPr>
          <w:rFonts w:hint="eastAsia" w:ascii="楷体" w:hAnsi="楷体" w:eastAsia="楷体" w:cs="仿宋"/>
          <w:b/>
          <w:bCs/>
          <w:sz w:val="32"/>
          <w:szCs w:val="32"/>
          <w:highlight w:val="none"/>
          <w:lang w:bidi="ar"/>
        </w:rPr>
        <w:t>（二）项目绩效目标</w:t>
      </w:r>
      <w:bookmarkEnd w:id="6"/>
      <w:bookmarkEnd w:id="7"/>
    </w:p>
    <w:p>
      <w:pPr>
        <w:pStyle w:val="5"/>
        <w:adjustRightInd w:val="0"/>
        <w:snapToGrid w:val="0"/>
        <w:spacing w:before="0" w:after="0" w:line="600" w:lineRule="exact"/>
        <w:ind w:firstLine="640" w:firstLineChars="200"/>
        <w:jc w:val="left"/>
        <w:outlineLvl w:val="2"/>
        <w:rPr>
          <w:rFonts w:ascii="仿宋_GB2312" w:hAnsi="仿宋" w:eastAsia="仿宋_GB2312"/>
          <w:color w:val="000000" w:themeColor="text1"/>
          <w14:textFill>
            <w14:solidFill>
              <w14:schemeClr w14:val="tx1"/>
            </w14:solidFill>
          </w14:textFill>
        </w:rPr>
      </w:pPr>
      <w:bookmarkStart w:id="8" w:name="_Toc44173897"/>
      <w:r>
        <w:rPr>
          <w:rFonts w:hint="eastAsia" w:ascii="仿宋_GB2312" w:hAnsi="仿宋" w:eastAsia="仿宋_GB2312"/>
          <w:color w:val="000000" w:themeColor="text1"/>
          <w14:textFill>
            <w14:solidFill>
              <w14:schemeClr w14:val="tx1"/>
            </w14:solidFill>
          </w14:textFill>
        </w:rPr>
        <w:t>1.项目总体绩效目标</w:t>
      </w:r>
      <w:bookmarkEnd w:id="8"/>
    </w:p>
    <w:p>
      <w:pPr>
        <w:pStyle w:val="5"/>
        <w:adjustRightInd w:val="0"/>
        <w:snapToGrid w:val="0"/>
        <w:spacing w:before="0" w:after="0" w:line="600" w:lineRule="exact"/>
        <w:ind w:firstLine="640" w:firstLineChars="200"/>
        <w:jc w:val="left"/>
        <w:outlineLvl w:val="2"/>
        <w:rPr>
          <w:rFonts w:hint="eastAsia" w:ascii="仿宋_GB2312" w:hAnsi="仿宋" w:eastAsia="仿宋_GB2312"/>
          <w:b w:val="0"/>
          <w:color w:val="000000" w:themeColor="text1"/>
          <w:lang w:eastAsia="zh-CN"/>
          <w14:textFill>
            <w14:solidFill>
              <w14:schemeClr w14:val="tx1"/>
            </w14:solidFill>
          </w14:textFill>
        </w:rPr>
      </w:pPr>
      <w:bookmarkStart w:id="9" w:name="_Toc44173898"/>
      <w:r>
        <w:rPr>
          <w:rFonts w:hint="eastAsia" w:ascii="仿宋_GB2312" w:hAnsi="仿宋" w:eastAsia="仿宋_GB2312"/>
          <w:b w:val="0"/>
          <w:color w:val="000000" w:themeColor="text1"/>
          <w:lang w:eastAsia="zh-CN"/>
          <w14:textFill>
            <w14:solidFill>
              <w14:schemeClr w14:val="tx1"/>
            </w14:solidFill>
          </w14:textFill>
        </w:rPr>
        <w:t>（</w:t>
      </w:r>
      <w:r>
        <w:rPr>
          <w:rFonts w:hint="eastAsia" w:ascii="仿宋_GB2312" w:hAnsi="仿宋" w:eastAsia="仿宋_GB2312"/>
          <w:b w:val="0"/>
          <w:color w:val="000000" w:themeColor="text1"/>
          <w:lang w:val="en-US" w:eastAsia="zh-CN"/>
          <w14:textFill>
            <w14:solidFill>
              <w14:schemeClr w14:val="tx1"/>
            </w14:solidFill>
          </w14:textFill>
        </w:rPr>
        <w:t>1）</w:t>
      </w:r>
      <w:r>
        <w:rPr>
          <w:rFonts w:hint="eastAsia" w:ascii="仿宋_GB2312" w:hAnsi="仿宋" w:eastAsia="仿宋_GB2312"/>
          <w:b w:val="0"/>
          <w:color w:val="000000" w:themeColor="text1"/>
          <w:lang w:eastAsia="zh-CN"/>
          <w14:textFill>
            <w14:solidFill>
              <w14:schemeClr w14:val="tx1"/>
            </w14:solidFill>
          </w14:textFill>
        </w:rPr>
        <w:t>是做好机关大院的水电暖、办公楼内卫生、会议接待、节能减排、食堂和使用设备日常检查维护等各项后勤保障工作，保证机关办公楼正常运行。</w:t>
      </w:r>
    </w:p>
    <w:p>
      <w:pPr>
        <w:pStyle w:val="5"/>
        <w:adjustRightInd w:val="0"/>
        <w:snapToGrid w:val="0"/>
        <w:spacing w:before="0" w:after="0" w:line="600" w:lineRule="exact"/>
        <w:ind w:firstLine="640" w:firstLineChars="200"/>
        <w:jc w:val="left"/>
        <w:outlineLvl w:val="2"/>
        <w:rPr>
          <w:rFonts w:hint="eastAsia" w:ascii="仿宋_GB2312" w:hAnsi="仿宋" w:eastAsia="仿宋_GB2312"/>
          <w:b w:val="0"/>
          <w:color w:val="000000" w:themeColor="text1"/>
          <w:lang w:eastAsia="zh-CN"/>
          <w14:textFill>
            <w14:solidFill>
              <w14:schemeClr w14:val="tx1"/>
            </w14:solidFill>
          </w14:textFill>
        </w:rPr>
      </w:pPr>
      <w:r>
        <w:rPr>
          <w:rFonts w:hint="eastAsia" w:ascii="仿宋_GB2312" w:hAnsi="仿宋" w:eastAsia="仿宋_GB2312"/>
          <w:b w:val="0"/>
          <w:color w:val="000000" w:themeColor="text1"/>
          <w:lang w:eastAsia="zh-CN"/>
          <w14:textFill>
            <w14:solidFill>
              <w14:schemeClr w14:val="tx1"/>
            </w14:solidFill>
          </w14:textFill>
        </w:rPr>
        <w:t>（</w:t>
      </w:r>
      <w:r>
        <w:rPr>
          <w:rFonts w:hint="eastAsia" w:ascii="仿宋_GB2312" w:hAnsi="仿宋" w:eastAsia="仿宋_GB2312"/>
          <w:b w:val="0"/>
          <w:color w:val="000000" w:themeColor="text1"/>
          <w:lang w:val="en-US" w:eastAsia="zh-CN"/>
          <w14:textFill>
            <w14:solidFill>
              <w14:schemeClr w14:val="tx1"/>
            </w14:solidFill>
          </w14:textFill>
        </w:rPr>
        <w:t>2）</w:t>
      </w:r>
      <w:r>
        <w:rPr>
          <w:rFonts w:hint="eastAsia" w:ascii="仿宋_GB2312" w:hAnsi="仿宋" w:eastAsia="仿宋_GB2312"/>
          <w:b w:val="0"/>
          <w:color w:val="000000" w:themeColor="text1"/>
          <w:lang w:eastAsia="zh-CN"/>
          <w14:textFill>
            <w14:solidFill>
              <w14:schemeClr w14:val="tx1"/>
            </w14:solidFill>
          </w14:textFill>
        </w:rPr>
        <w:t>是做好完善</w:t>
      </w:r>
      <w:r>
        <w:rPr>
          <w:rFonts w:hint="eastAsia" w:ascii="仿宋_GB2312" w:hAnsi="仿宋" w:eastAsia="仿宋_GB2312"/>
          <w:b w:val="0"/>
          <w:color w:val="000000" w:themeColor="text1"/>
          <w:lang w:val="en-US" w:eastAsia="zh-CN"/>
          <w14:textFill>
            <w14:solidFill>
              <w14:schemeClr w14:val="tx1"/>
            </w14:solidFill>
          </w14:textFill>
        </w:rPr>
        <w:t>公房、</w:t>
      </w:r>
      <w:r>
        <w:rPr>
          <w:rFonts w:hint="eastAsia" w:ascii="仿宋_GB2312" w:hAnsi="仿宋" w:eastAsia="仿宋_GB2312"/>
          <w:b w:val="0"/>
          <w:color w:val="000000" w:themeColor="text1"/>
          <w:lang w:eastAsia="zh-CN"/>
          <w14:textFill>
            <w14:solidFill>
              <w14:schemeClr w14:val="tx1"/>
            </w14:solidFill>
          </w14:textFill>
        </w:rPr>
        <w:t>公务用车管理制度，合理支配费用保障公车正常运行。</w:t>
      </w:r>
    </w:p>
    <w:p>
      <w:pPr>
        <w:pStyle w:val="5"/>
        <w:adjustRightInd w:val="0"/>
        <w:snapToGrid w:val="0"/>
        <w:spacing w:before="0" w:after="0" w:line="600" w:lineRule="exact"/>
        <w:ind w:firstLine="640" w:firstLineChars="200"/>
        <w:jc w:val="left"/>
        <w:outlineLvl w:val="2"/>
        <w:rPr>
          <w:rFonts w:hint="eastAsia" w:ascii="仿宋_GB2312" w:hAnsi="仿宋" w:eastAsia="仿宋_GB2312"/>
          <w:b w:val="0"/>
          <w:color w:val="000000" w:themeColor="text1"/>
          <w:lang w:eastAsia="zh-CN"/>
          <w14:textFill>
            <w14:solidFill>
              <w14:schemeClr w14:val="tx1"/>
            </w14:solidFill>
          </w14:textFill>
        </w:rPr>
      </w:pPr>
      <w:r>
        <w:rPr>
          <w:rFonts w:hint="eastAsia" w:ascii="仿宋_GB2312" w:hAnsi="仿宋" w:eastAsia="仿宋_GB2312"/>
          <w:b w:val="0"/>
          <w:color w:val="000000" w:themeColor="text1"/>
          <w:lang w:eastAsia="zh-CN"/>
          <w14:textFill>
            <w14:solidFill>
              <w14:schemeClr w14:val="tx1"/>
            </w14:solidFill>
          </w14:textFill>
        </w:rPr>
        <w:t>（</w:t>
      </w:r>
      <w:r>
        <w:rPr>
          <w:rFonts w:hint="eastAsia" w:ascii="仿宋_GB2312" w:hAnsi="仿宋" w:eastAsia="仿宋_GB2312"/>
          <w:b w:val="0"/>
          <w:color w:val="000000" w:themeColor="text1"/>
          <w:lang w:val="en-US" w:eastAsia="zh-CN"/>
          <w14:textFill>
            <w14:solidFill>
              <w14:schemeClr w14:val="tx1"/>
            </w14:solidFill>
          </w14:textFill>
        </w:rPr>
        <w:t>3）</w:t>
      </w:r>
      <w:r>
        <w:rPr>
          <w:rFonts w:hint="eastAsia" w:ascii="仿宋_GB2312" w:hAnsi="仿宋" w:eastAsia="仿宋_GB2312"/>
          <w:b w:val="0"/>
          <w:color w:val="000000" w:themeColor="text1"/>
          <w:lang w:eastAsia="zh-CN"/>
          <w14:textFill>
            <w14:solidFill>
              <w14:schemeClr w14:val="tx1"/>
            </w14:solidFill>
          </w14:textFill>
        </w:rPr>
        <w:t>是加强内部班子及干部职工队伍建设，不断提高后勤人员素质。</w:t>
      </w:r>
    </w:p>
    <w:p>
      <w:pPr>
        <w:pStyle w:val="5"/>
        <w:adjustRightInd w:val="0"/>
        <w:snapToGrid w:val="0"/>
        <w:spacing w:before="0" w:after="0" w:line="600" w:lineRule="exact"/>
        <w:ind w:firstLine="640" w:firstLineChars="200"/>
        <w:jc w:val="left"/>
        <w:outlineLvl w:val="2"/>
        <w:rPr>
          <w:rFonts w:ascii="仿宋_GB2312" w:hAnsi="仿宋" w:eastAsia="仿宋_GB2312"/>
          <w:color w:val="000000" w:themeColor="text1"/>
          <w14:textFill>
            <w14:solidFill>
              <w14:schemeClr w14:val="tx1"/>
            </w14:solidFill>
          </w14:textFill>
        </w:rPr>
      </w:pPr>
      <w:r>
        <w:rPr>
          <w:rFonts w:hint="eastAsia" w:ascii="仿宋_GB2312" w:hAnsi="仿宋" w:eastAsia="仿宋_GB2312"/>
          <w:color w:val="000000" w:themeColor="text1"/>
          <w14:textFill>
            <w14:solidFill>
              <w14:schemeClr w14:val="tx1"/>
            </w14:solidFill>
          </w14:textFill>
        </w:rPr>
        <w:t>2.项目绩效指标</w:t>
      </w:r>
      <w:bookmarkEnd w:id="9"/>
    </w:p>
    <w:p>
      <w:pPr>
        <w:pStyle w:val="5"/>
        <w:adjustRightInd w:val="0"/>
        <w:snapToGrid w:val="0"/>
        <w:spacing w:before="0" w:after="0" w:line="600" w:lineRule="exact"/>
        <w:ind w:firstLine="640" w:firstLineChars="200"/>
        <w:jc w:val="left"/>
        <w:outlineLvl w:val="9"/>
        <w:rPr>
          <w:rFonts w:hint="eastAsia" w:ascii="仿宋_GB2312" w:hAnsi="仿宋" w:eastAsia="仿宋_GB2312"/>
          <w:b w:val="0"/>
          <w:color w:val="000000" w:themeColor="text1"/>
          <w:highlight w:val="yellow"/>
          <w:lang w:eastAsia="zh-CN"/>
          <w14:textFill>
            <w14:solidFill>
              <w14:schemeClr w14:val="tx1"/>
            </w14:solidFill>
          </w14:textFill>
        </w:rPr>
      </w:pPr>
      <w:r>
        <w:rPr>
          <w:rFonts w:hint="eastAsia" w:ascii="仿宋_GB2312" w:hAnsi="仿宋" w:eastAsia="仿宋_GB2312"/>
          <w:b w:val="0"/>
          <w:color w:val="000000" w:themeColor="text1"/>
          <w:lang w:eastAsia="zh-CN"/>
          <w14:textFill>
            <w14:solidFill>
              <w14:schemeClr w14:val="tx1"/>
            </w14:solidFill>
          </w14:textFill>
        </w:rPr>
        <w:t>怀来县机关事务服务中心</w:t>
      </w:r>
      <w:r>
        <w:rPr>
          <w:rFonts w:hint="eastAsia" w:ascii="仿宋_GB2312" w:hAnsi="仿宋" w:eastAsia="仿宋_GB2312"/>
          <w:b w:val="0"/>
          <w:color w:val="000000" w:themeColor="text1"/>
          <w14:textFill>
            <w14:solidFill>
              <w14:schemeClr w14:val="tx1"/>
            </w14:solidFill>
          </w14:textFill>
        </w:rPr>
        <w:t>根据项目绩效目标制定了具体绩效指标，详见</w:t>
      </w:r>
      <w:r>
        <w:rPr>
          <w:rFonts w:hint="eastAsia" w:ascii="仿宋_GB2312" w:hAnsi="仿宋" w:eastAsia="仿宋_GB2312"/>
          <w:b w:val="0"/>
          <w:color w:val="000000" w:themeColor="text1"/>
          <w:lang w:val="en-US" w:eastAsia="zh-CN"/>
          <w14:textFill>
            <w14:solidFill>
              <w14:schemeClr w14:val="tx1"/>
            </w14:solidFill>
          </w14:textFill>
        </w:rPr>
        <w:t>附件</w:t>
      </w:r>
      <w:r>
        <w:rPr>
          <w:rFonts w:hint="eastAsia" w:ascii="仿宋_GB2312" w:hAnsi="仿宋" w:eastAsia="仿宋_GB2312"/>
          <w:b w:val="0"/>
          <w:color w:val="000000" w:themeColor="text1"/>
          <w14:textFill>
            <w14:solidFill>
              <w14:schemeClr w14:val="tx1"/>
            </w14:solidFill>
          </w14:textFill>
        </w:rPr>
        <w:t>。</w:t>
      </w:r>
    </w:p>
    <w:p>
      <w:pPr>
        <w:adjustRightInd w:val="0"/>
        <w:snapToGrid w:val="0"/>
        <w:spacing w:line="600" w:lineRule="exact"/>
        <w:ind w:firstLine="600" w:firstLineChars="200"/>
        <w:outlineLvl w:val="0"/>
        <w:rPr>
          <w:rFonts w:ascii="黑体" w:eastAsia="黑体" w:cs="黑体"/>
          <w:sz w:val="30"/>
          <w:szCs w:val="30"/>
          <w:lang w:bidi="ar"/>
        </w:rPr>
      </w:pPr>
      <w:bookmarkStart w:id="10" w:name="_Toc43820993"/>
      <w:r>
        <w:rPr>
          <w:rFonts w:hint="eastAsia" w:ascii="黑体" w:eastAsia="黑体" w:cs="黑体"/>
          <w:sz w:val="30"/>
          <w:szCs w:val="30"/>
          <w:lang w:bidi="ar"/>
        </w:rPr>
        <w:t>二、绩效评价工作开展情况</w:t>
      </w:r>
      <w:bookmarkEnd w:id="10"/>
    </w:p>
    <w:p>
      <w:pPr>
        <w:adjustRightInd w:val="0"/>
        <w:snapToGrid w:val="0"/>
        <w:spacing w:line="600" w:lineRule="exact"/>
        <w:ind w:firstLine="640" w:firstLineChars="200"/>
        <w:outlineLvl w:val="1"/>
        <w:rPr>
          <w:rFonts w:ascii="楷体" w:hAnsi="楷体" w:eastAsia="楷体" w:cs="仿宋"/>
          <w:b/>
          <w:bCs/>
          <w:sz w:val="32"/>
          <w:szCs w:val="32"/>
          <w:lang w:bidi="ar"/>
        </w:rPr>
      </w:pPr>
      <w:bookmarkStart w:id="11" w:name="_Toc36216441"/>
      <w:bookmarkStart w:id="12" w:name="_Toc43820994"/>
      <w:r>
        <w:rPr>
          <w:rFonts w:hint="eastAsia" w:ascii="楷体" w:hAnsi="楷体" w:eastAsia="楷体" w:cs="仿宋"/>
          <w:b/>
          <w:bCs/>
          <w:sz w:val="32"/>
          <w:szCs w:val="32"/>
          <w:lang w:bidi="ar"/>
        </w:rPr>
        <w:t>（一）绩效评价目的</w:t>
      </w:r>
      <w:bookmarkEnd w:id="11"/>
      <w:bookmarkEnd w:id="12"/>
    </w:p>
    <w:p>
      <w:pPr>
        <w:pStyle w:val="5"/>
        <w:adjustRightInd w:val="0"/>
        <w:snapToGrid w:val="0"/>
        <w:spacing w:before="0" w:after="0" w:line="600" w:lineRule="exact"/>
        <w:ind w:firstLine="640" w:firstLineChars="200"/>
        <w:jc w:val="left"/>
        <w:outlineLvl w:val="9"/>
        <w:rPr>
          <w:rFonts w:ascii="仿宋_GB2312" w:eastAsia="仿宋_GB2312"/>
          <w:b w:val="0"/>
          <w:lang w:bidi="ar"/>
        </w:rPr>
      </w:pPr>
      <w:r>
        <w:rPr>
          <w:rFonts w:hint="eastAsia" w:ascii="仿宋_GB2312" w:hAnsi="仿宋" w:eastAsia="仿宋_GB2312"/>
          <w:b w:val="0"/>
        </w:rPr>
        <w:t>按照</w:t>
      </w:r>
      <w:r>
        <w:rPr>
          <w:rFonts w:hint="eastAsia" w:ascii="仿宋_GB2312" w:hAnsi="仿宋" w:eastAsia="仿宋_GB2312"/>
          <w:b w:val="0"/>
          <w:lang w:eastAsia="zh-CN"/>
        </w:rPr>
        <w:t>怀来县</w:t>
      </w:r>
      <w:r>
        <w:rPr>
          <w:rFonts w:hint="eastAsia" w:ascii="仿宋_GB2312" w:hAnsi="仿宋" w:eastAsia="仿宋_GB2312"/>
          <w:b w:val="0"/>
        </w:rPr>
        <w:t>财政局对项目绩效评价工作的要求，评价组对</w:t>
      </w:r>
      <w:r>
        <w:rPr>
          <w:rFonts w:hint="eastAsia" w:ascii="仿宋_GB2312" w:hAnsi="仿宋" w:eastAsia="仿宋_GB2312"/>
          <w:b w:val="0"/>
          <w:lang w:eastAsia="zh-CN"/>
        </w:rPr>
        <w:t>202</w:t>
      </w:r>
      <w:r>
        <w:rPr>
          <w:rFonts w:hint="eastAsia" w:ascii="仿宋_GB2312" w:hAnsi="仿宋" w:eastAsia="仿宋_GB2312"/>
          <w:b w:val="0"/>
          <w:lang w:val="en-US" w:eastAsia="zh-CN"/>
        </w:rPr>
        <w:t>2</w:t>
      </w:r>
      <w:r>
        <w:rPr>
          <w:rFonts w:hint="eastAsia" w:ascii="仿宋_GB2312" w:hAnsi="仿宋" w:eastAsia="仿宋_GB2312"/>
          <w:b w:val="0"/>
          <w:lang w:eastAsia="zh-CN"/>
        </w:rPr>
        <w:t>年度政府大楼运行经费项目</w:t>
      </w:r>
      <w:r>
        <w:rPr>
          <w:rFonts w:hint="eastAsia" w:ascii="仿宋_GB2312" w:hAnsi="仿宋" w:eastAsia="仿宋_GB2312"/>
          <w:b w:val="0"/>
        </w:rPr>
        <w:t>的分配、管理、使用</w:t>
      </w:r>
      <w:r>
        <w:rPr>
          <w:rFonts w:hint="eastAsia" w:ascii="仿宋_GB2312" w:hAnsi="仿宋" w:eastAsia="仿宋_GB2312"/>
          <w:b w:val="0"/>
          <w:lang w:eastAsia="zh-CN"/>
        </w:rPr>
        <w:t>、</w:t>
      </w:r>
      <w:r>
        <w:rPr>
          <w:rFonts w:hint="eastAsia" w:ascii="仿宋_GB2312" w:hAnsi="仿宋" w:eastAsia="仿宋_GB2312"/>
          <w:b w:val="0"/>
        </w:rPr>
        <w:t>产出及效果等进行全面客观的分析和评判，发现问题并分析成因，为优化项目管理、提高财政资金使用效益提供建议</w:t>
      </w:r>
      <w:r>
        <w:rPr>
          <w:rFonts w:hint="eastAsia" w:ascii="仿宋_GB2312" w:hAnsi="仿宋" w:eastAsia="仿宋_GB2312"/>
          <w:b w:val="0"/>
          <w:color w:val="000000" w:themeColor="text1"/>
          <w:shd w:val="clear" w:color="auto" w:fill="FFFFFF" w:themeFill="background1"/>
          <w14:textFill>
            <w14:solidFill>
              <w14:schemeClr w14:val="tx1"/>
            </w14:solidFill>
          </w14:textFill>
        </w:rPr>
        <w:t>。</w:t>
      </w:r>
    </w:p>
    <w:p>
      <w:pPr>
        <w:adjustRightInd w:val="0"/>
        <w:snapToGrid w:val="0"/>
        <w:spacing w:line="600" w:lineRule="exact"/>
        <w:ind w:firstLine="640" w:firstLineChars="200"/>
        <w:outlineLvl w:val="1"/>
        <w:rPr>
          <w:rFonts w:ascii="楷体" w:hAnsi="楷体" w:eastAsia="楷体" w:cs="仿宋"/>
          <w:b/>
          <w:bCs/>
          <w:sz w:val="32"/>
          <w:szCs w:val="32"/>
          <w:lang w:bidi="ar"/>
        </w:rPr>
      </w:pPr>
      <w:bookmarkStart w:id="13" w:name="_Toc36216442"/>
      <w:bookmarkStart w:id="14" w:name="_Toc43820995"/>
      <w:r>
        <w:rPr>
          <w:rFonts w:hint="eastAsia" w:ascii="楷体" w:hAnsi="楷体" w:eastAsia="楷体" w:cs="仿宋"/>
          <w:b/>
          <w:bCs/>
          <w:sz w:val="32"/>
          <w:szCs w:val="32"/>
          <w:lang w:bidi="ar"/>
        </w:rPr>
        <w:t>（二）绩效评价对象和范围</w:t>
      </w:r>
      <w:bookmarkEnd w:id="13"/>
      <w:bookmarkEnd w:id="14"/>
    </w:p>
    <w:p>
      <w:pPr>
        <w:pStyle w:val="5"/>
        <w:adjustRightInd w:val="0"/>
        <w:snapToGrid w:val="0"/>
        <w:spacing w:before="0" w:after="0" w:line="600" w:lineRule="exact"/>
        <w:ind w:firstLine="640" w:firstLineChars="200"/>
        <w:jc w:val="left"/>
        <w:outlineLvl w:val="9"/>
        <w:rPr>
          <w:rFonts w:ascii="仿宋_GB2312" w:hAnsi="仿宋" w:eastAsia="仿宋_GB2312"/>
          <w:b w:val="0"/>
        </w:rPr>
      </w:pPr>
      <w:r>
        <w:rPr>
          <w:rFonts w:hint="eastAsia" w:ascii="仿宋_GB2312" w:hAnsi="仿宋" w:eastAsia="仿宋_GB2312"/>
          <w:b w:val="0"/>
        </w:rPr>
        <w:t>本次绩效评价对象为</w:t>
      </w:r>
      <w:r>
        <w:rPr>
          <w:rFonts w:hint="eastAsia" w:ascii="仿宋_GB2312" w:hAnsi="仿宋" w:eastAsia="仿宋_GB2312"/>
          <w:b w:val="0"/>
          <w:lang w:eastAsia="zh-CN"/>
        </w:rPr>
        <w:t>怀来县机关事务服务中心202</w:t>
      </w:r>
      <w:r>
        <w:rPr>
          <w:rFonts w:hint="eastAsia" w:ascii="仿宋_GB2312" w:hAnsi="仿宋" w:eastAsia="仿宋_GB2312"/>
          <w:b w:val="0"/>
          <w:lang w:val="en-US" w:eastAsia="zh-CN"/>
        </w:rPr>
        <w:t>2</w:t>
      </w:r>
      <w:r>
        <w:rPr>
          <w:rFonts w:hint="eastAsia" w:ascii="仿宋_GB2312" w:hAnsi="仿宋" w:eastAsia="仿宋_GB2312"/>
          <w:b w:val="0"/>
          <w:lang w:eastAsia="zh-CN"/>
        </w:rPr>
        <w:t>年度政府大楼运行经费项目</w:t>
      </w:r>
      <w:r>
        <w:rPr>
          <w:rFonts w:hint="eastAsia" w:ascii="仿宋_GB2312" w:hAnsi="仿宋" w:eastAsia="仿宋_GB2312"/>
          <w:b w:val="0"/>
        </w:rPr>
        <w:t>，评价范围包括项目决策情况、资金的预算执行情况、资金管理及使用情况、产出、取得的效益和满意度等情况。</w:t>
      </w:r>
    </w:p>
    <w:p>
      <w:pPr>
        <w:adjustRightInd w:val="0"/>
        <w:snapToGrid w:val="0"/>
        <w:spacing w:line="600" w:lineRule="exact"/>
        <w:ind w:firstLine="640" w:firstLineChars="200"/>
        <w:outlineLvl w:val="1"/>
        <w:rPr>
          <w:rFonts w:ascii="楷体" w:hAnsi="楷体" w:eastAsia="楷体" w:cs="仿宋"/>
          <w:b/>
          <w:bCs/>
          <w:sz w:val="32"/>
          <w:szCs w:val="32"/>
          <w:lang w:bidi="ar"/>
        </w:rPr>
      </w:pPr>
      <w:bookmarkStart w:id="15" w:name="_Toc43820996"/>
      <w:bookmarkStart w:id="16" w:name="_Toc36216443"/>
      <w:r>
        <w:rPr>
          <w:rFonts w:hint="eastAsia" w:ascii="楷体" w:hAnsi="楷体" w:eastAsia="楷体" w:cs="仿宋"/>
          <w:b/>
          <w:bCs/>
          <w:sz w:val="32"/>
          <w:szCs w:val="32"/>
          <w:lang w:bidi="ar"/>
        </w:rPr>
        <w:t>（三）绩效评价原则、标准与方法</w:t>
      </w:r>
      <w:bookmarkEnd w:id="15"/>
      <w:bookmarkEnd w:id="16"/>
    </w:p>
    <w:p>
      <w:pPr>
        <w:pStyle w:val="5"/>
        <w:adjustRightInd w:val="0"/>
        <w:snapToGrid w:val="0"/>
        <w:spacing w:before="0" w:after="0" w:line="600" w:lineRule="exact"/>
        <w:ind w:firstLine="640" w:firstLineChars="200"/>
        <w:jc w:val="left"/>
        <w:outlineLvl w:val="9"/>
        <w:rPr>
          <w:rFonts w:ascii="仿宋_GB2312" w:hAnsi="仿宋" w:eastAsia="仿宋_GB2312"/>
          <w:b w:val="0"/>
        </w:rPr>
      </w:pPr>
      <w:r>
        <w:rPr>
          <w:rFonts w:hint="eastAsia" w:ascii="仿宋_GB2312" w:hAnsi="仿宋" w:eastAsia="仿宋_GB2312"/>
          <w:b w:val="0"/>
        </w:rPr>
        <w:t>项目组按照“科学公正，统筹兼顾，目标导向，问题改进”的原则，采用资料查看、案头分析、数据核查等手段，以非现场评价为主、就关键事项与项目实施或管理人员进行沟通为辅的方式开展评价工作。</w:t>
      </w:r>
    </w:p>
    <w:p>
      <w:pPr>
        <w:pStyle w:val="5"/>
        <w:adjustRightInd w:val="0"/>
        <w:snapToGrid w:val="0"/>
        <w:spacing w:before="0" w:after="0" w:line="600" w:lineRule="exact"/>
        <w:ind w:firstLine="640" w:firstLineChars="200"/>
        <w:jc w:val="left"/>
        <w:outlineLvl w:val="9"/>
        <w:rPr>
          <w:rFonts w:ascii="仿宋_GB2312" w:hAnsi="仿宋" w:eastAsia="仿宋_GB2312"/>
          <w:b w:val="0"/>
        </w:rPr>
      </w:pPr>
      <w:r>
        <w:rPr>
          <w:rFonts w:hint="eastAsia" w:ascii="仿宋_GB2312" w:hAnsi="仿宋" w:eastAsia="仿宋_GB2312"/>
          <w:b w:val="0"/>
        </w:rPr>
        <w:t>在评价工作过程中，项目组综合运用成本效益分析法、比较法、因素分析法、穿行测试法等多种评价方法，采用计划标准、历史标准及财政部门和预算部门确认或认可的其他标准，对绩效指标完成情况进行评价。</w:t>
      </w:r>
    </w:p>
    <w:p>
      <w:pPr>
        <w:adjustRightInd w:val="0"/>
        <w:snapToGrid w:val="0"/>
        <w:spacing w:line="600" w:lineRule="exact"/>
        <w:ind w:firstLine="640" w:firstLineChars="200"/>
        <w:outlineLvl w:val="1"/>
        <w:rPr>
          <w:rFonts w:ascii="楷体" w:hAnsi="楷体" w:eastAsia="楷体" w:cs="仿宋"/>
          <w:b/>
          <w:bCs/>
          <w:sz w:val="32"/>
          <w:szCs w:val="32"/>
          <w:lang w:bidi="ar"/>
        </w:rPr>
      </w:pPr>
      <w:bookmarkStart w:id="17" w:name="_Toc43820997"/>
      <w:bookmarkStart w:id="18" w:name="_Toc36216444"/>
      <w:r>
        <w:rPr>
          <w:rFonts w:hint="eastAsia" w:ascii="楷体" w:hAnsi="楷体" w:eastAsia="楷体" w:cs="仿宋"/>
          <w:b/>
          <w:bCs/>
          <w:sz w:val="32"/>
          <w:szCs w:val="32"/>
          <w:lang w:bidi="ar"/>
        </w:rPr>
        <w:t>（四）绩效</w:t>
      </w:r>
      <w:r>
        <w:rPr>
          <w:rFonts w:hint="eastAsia" w:ascii="楷体" w:hAnsi="楷体" w:eastAsia="楷体" w:cs="仿宋"/>
          <w:b/>
          <w:bCs/>
          <w:sz w:val="32"/>
          <w:szCs w:val="32"/>
          <w:lang w:val="en-US" w:eastAsia="zh-CN" w:bidi="ar"/>
        </w:rPr>
        <w:t>自评</w:t>
      </w:r>
      <w:r>
        <w:rPr>
          <w:rFonts w:hint="eastAsia" w:ascii="楷体" w:hAnsi="楷体" w:eastAsia="楷体" w:cs="仿宋"/>
          <w:b/>
          <w:bCs/>
          <w:sz w:val="32"/>
          <w:szCs w:val="32"/>
          <w:lang w:bidi="ar"/>
        </w:rPr>
        <w:t>工作过程</w:t>
      </w:r>
      <w:bookmarkEnd w:id="17"/>
      <w:bookmarkEnd w:id="18"/>
    </w:p>
    <w:p>
      <w:pPr>
        <w:pStyle w:val="5"/>
        <w:adjustRightInd w:val="0"/>
        <w:snapToGrid w:val="0"/>
        <w:spacing w:before="0" w:after="0" w:line="600" w:lineRule="exact"/>
        <w:ind w:firstLine="640" w:firstLineChars="200"/>
        <w:jc w:val="left"/>
        <w:outlineLvl w:val="9"/>
        <w:rPr>
          <w:rFonts w:ascii="仿宋_GB2312" w:hAnsi="仿宋" w:eastAsia="仿宋_GB2312"/>
          <w:b w:val="0"/>
        </w:rPr>
      </w:pPr>
      <w:r>
        <w:rPr>
          <w:rFonts w:hint="eastAsia" w:ascii="仿宋_GB2312" w:hAnsi="仿宋" w:eastAsia="仿宋_GB2312"/>
          <w:b w:val="0"/>
        </w:rPr>
        <w:t>本次绩效评价程序包括评价准备、评价实施和报告形成三个阶段，具体工作内容如下：</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b/>
          <w:sz w:val="32"/>
          <w:szCs w:val="32"/>
          <w:lang w:bidi="ar"/>
        </w:rPr>
        <w:t>1.</w:t>
      </w:r>
      <w:r>
        <w:rPr>
          <w:rFonts w:hint="eastAsia" w:ascii="仿宋_GB2312" w:hAnsi="仿宋" w:eastAsia="仿宋_GB2312" w:cs="仿宋"/>
          <w:b/>
          <w:sz w:val="32"/>
          <w:szCs w:val="32"/>
          <w:lang w:val="en-US" w:eastAsia="zh-CN" w:bidi="ar"/>
        </w:rPr>
        <w:t>自评</w:t>
      </w:r>
      <w:r>
        <w:rPr>
          <w:rFonts w:hint="eastAsia" w:ascii="仿宋_GB2312" w:hAnsi="仿宋" w:eastAsia="仿宋_GB2312" w:cs="仿宋"/>
          <w:b/>
          <w:sz w:val="32"/>
          <w:szCs w:val="32"/>
          <w:lang w:bidi="ar"/>
        </w:rPr>
        <w:t>准备阶段。</w:t>
      </w:r>
      <w:r>
        <w:rPr>
          <w:rFonts w:hint="eastAsia" w:ascii="仿宋_GB2312" w:hAnsi="仿宋" w:eastAsia="仿宋_GB2312" w:cs="仿宋"/>
          <w:sz w:val="32"/>
          <w:szCs w:val="32"/>
          <w:lang w:bidi="ar"/>
        </w:rPr>
        <w:t>明确绩效评价任务，收集审核项目资料，制定绩效</w:t>
      </w:r>
      <w:r>
        <w:rPr>
          <w:rFonts w:hint="eastAsia" w:ascii="仿宋_GB2312" w:hAnsi="仿宋" w:eastAsia="仿宋_GB2312" w:cs="仿宋"/>
          <w:sz w:val="32"/>
          <w:szCs w:val="32"/>
          <w:lang w:val="en-US" w:eastAsia="zh-CN" w:bidi="ar"/>
        </w:rPr>
        <w:t>自评</w:t>
      </w:r>
      <w:r>
        <w:rPr>
          <w:rFonts w:hint="eastAsia" w:ascii="仿宋_GB2312" w:hAnsi="仿宋" w:eastAsia="仿宋_GB2312" w:cs="仿宋"/>
          <w:sz w:val="32"/>
          <w:szCs w:val="32"/>
          <w:lang w:bidi="ar"/>
        </w:rPr>
        <w:t>工作方案并审核。</w:t>
      </w:r>
    </w:p>
    <w:p>
      <w:pPr>
        <w:adjustRightInd w:val="0"/>
        <w:snapToGrid w:val="0"/>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b/>
          <w:sz w:val="32"/>
          <w:szCs w:val="32"/>
          <w:lang w:bidi="ar"/>
        </w:rPr>
        <w:t>2.</w:t>
      </w:r>
      <w:r>
        <w:rPr>
          <w:rFonts w:hint="eastAsia" w:ascii="仿宋_GB2312" w:hAnsi="仿宋" w:eastAsia="仿宋_GB2312" w:cs="仿宋"/>
          <w:b/>
          <w:sz w:val="32"/>
          <w:szCs w:val="32"/>
          <w:lang w:val="en-US" w:eastAsia="zh-CN" w:bidi="ar"/>
        </w:rPr>
        <w:t>自评</w:t>
      </w:r>
      <w:r>
        <w:rPr>
          <w:rFonts w:hint="eastAsia" w:ascii="仿宋_GB2312" w:hAnsi="仿宋" w:eastAsia="仿宋_GB2312" w:cs="仿宋"/>
          <w:b/>
          <w:sz w:val="32"/>
          <w:szCs w:val="32"/>
          <w:lang w:bidi="ar"/>
        </w:rPr>
        <w:t>实施阶段。</w:t>
      </w:r>
      <w:r>
        <w:rPr>
          <w:rFonts w:hint="eastAsia" w:ascii="仿宋_GB2312" w:hAnsi="仿宋" w:eastAsia="仿宋_GB2312" w:cs="仿宋"/>
          <w:sz w:val="32"/>
          <w:szCs w:val="32"/>
          <w:lang w:bidi="ar"/>
        </w:rPr>
        <w:t>项目组实施具体评价，完善绩效</w:t>
      </w:r>
      <w:r>
        <w:rPr>
          <w:rFonts w:hint="eastAsia" w:ascii="仿宋_GB2312" w:hAnsi="仿宋" w:eastAsia="仿宋_GB2312" w:cs="仿宋"/>
          <w:sz w:val="32"/>
          <w:szCs w:val="32"/>
          <w:lang w:val="en-US" w:eastAsia="zh-CN" w:bidi="ar"/>
        </w:rPr>
        <w:t>自评</w:t>
      </w:r>
      <w:r>
        <w:rPr>
          <w:rFonts w:hint="eastAsia" w:ascii="仿宋_GB2312" w:hAnsi="仿宋" w:eastAsia="仿宋_GB2312" w:cs="仿宋"/>
          <w:sz w:val="32"/>
          <w:szCs w:val="32"/>
          <w:lang w:bidi="ar"/>
        </w:rPr>
        <w:t>指标体系，分析形成初步</w:t>
      </w:r>
      <w:r>
        <w:rPr>
          <w:rFonts w:hint="eastAsia" w:ascii="仿宋_GB2312" w:hAnsi="仿宋" w:eastAsia="仿宋_GB2312" w:cs="仿宋"/>
          <w:sz w:val="32"/>
          <w:szCs w:val="32"/>
          <w:lang w:val="en-US" w:eastAsia="zh-CN" w:bidi="ar"/>
        </w:rPr>
        <w:t>自评</w:t>
      </w:r>
      <w:r>
        <w:rPr>
          <w:rFonts w:hint="eastAsia" w:ascii="仿宋_GB2312" w:hAnsi="仿宋" w:eastAsia="仿宋_GB2312" w:cs="仿宋"/>
          <w:sz w:val="32"/>
          <w:szCs w:val="32"/>
          <w:lang w:bidi="ar"/>
        </w:rPr>
        <w:t>结论，综合分析并形成最终评价结论。</w:t>
      </w:r>
    </w:p>
    <w:p>
      <w:pPr>
        <w:pStyle w:val="5"/>
        <w:adjustRightInd w:val="0"/>
        <w:snapToGrid w:val="0"/>
        <w:spacing w:before="0" w:after="0" w:line="600" w:lineRule="exact"/>
        <w:ind w:firstLine="640" w:firstLineChars="200"/>
        <w:jc w:val="left"/>
        <w:outlineLvl w:val="9"/>
        <w:rPr>
          <w:rFonts w:ascii="仿宋_GB2312" w:eastAsia="仿宋_GB2312"/>
          <w:b w:val="0"/>
          <w:lang w:bidi="ar"/>
        </w:rPr>
      </w:pPr>
      <w:r>
        <w:rPr>
          <w:rFonts w:hint="eastAsia" w:ascii="仿宋_GB2312" w:hAnsi="仿宋" w:eastAsia="仿宋_GB2312" w:cs="仿宋"/>
          <w:lang w:bidi="ar"/>
        </w:rPr>
        <w:t>3.报告形成阶段。</w:t>
      </w:r>
      <w:r>
        <w:rPr>
          <w:rFonts w:hint="eastAsia" w:ascii="仿宋_GB2312" w:hAnsi="仿宋" w:eastAsia="仿宋_GB2312" w:cs="仿宋"/>
          <w:b w:val="0"/>
          <w:lang w:bidi="ar"/>
        </w:rPr>
        <w:t>项目组结合前期情况，撰写绩效</w:t>
      </w:r>
      <w:r>
        <w:rPr>
          <w:rFonts w:hint="eastAsia" w:ascii="仿宋_GB2312" w:hAnsi="仿宋" w:eastAsia="仿宋_GB2312" w:cs="仿宋"/>
          <w:b w:val="0"/>
          <w:lang w:val="en-US" w:eastAsia="zh-CN" w:bidi="ar"/>
        </w:rPr>
        <w:t>自评</w:t>
      </w:r>
      <w:r>
        <w:rPr>
          <w:rFonts w:hint="eastAsia" w:ascii="仿宋_GB2312" w:hAnsi="仿宋" w:eastAsia="仿宋_GB2312" w:cs="仿宋"/>
          <w:b w:val="0"/>
          <w:lang w:bidi="ar"/>
        </w:rPr>
        <w:t>报告，形成正式绩效</w:t>
      </w:r>
      <w:r>
        <w:rPr>
          <w:rFonts w:hint="eastAsia" w:ascii="仿宋_GB2312" w:hAnsi="仿宋" w:eastAsia="仿宋_GB2312" w:cs="仿宋"/>
          <w:b w:val="0"/>
          <w:lang w:val="en-US" w:eastAsia="zh-CN" w:bidi="ar"/>
        </w:rPr>
        <w:t>自评</w:t>
      </w:r>
      <w:r>
        <w:rPr>
          <w:rFonts w:hint="eastAsia" w:ascii="仿宋_GB2312" w:hAnsi="仿宋" w:eastAsia="仿宋_GB2312" w:cs="仿宋"/>
          <w:b w:val="0"/>
          <w:lang w:bidi="ar"/>
        </w:rPr>
        <w:t>报告，报送并将评价资料整理归档。</w:t>
      </w:r>
    </w:p>
    <w:p>
      <w:pPr>
        <w:adjustRightInd w:val="0"/>
        <w:snapToGrid w:val="0"/>
        <w:spacing w:line="600" w:lineRule="exact"/>
        <w:ind w:firstLine="640" w:firstLineChars="200"/>
        <w:outlineLvl w:val="0"/>
        <w:rPr>
          <w:rFonts w:ascii="黑体" w:eastAsia="黑体" w:cs="黑体"/>
          <w:sz w:val="32"/>
          <w:szCs w:val="32"/>
          <w:highlight w:val="none"/>
          <w:lang w:bidi="ar"/>
        </w:rPr>
      </w:pPr>
      <w:bookmarkStart w:id="19" w:name="_Toc43820998"/>
      <w:r>
        <w:rPr>
          <w:rFonts w:hint="eastAsia" w:ascii="黑体" w:eastAsia="黑体" w:cs="黑体"/>
          <w:sz w:val="32"/>
          <w:szCs w:val="32"/>
          <w:highlight w:val="none"/>
          <w:lang w:bidi="ar"/>
        </w:rPr>
        <w:t>三、综合评价情况及评价结论</w:t>
      </w:r>
      <w:bookmarkEnd w:id="19"/>
    </w:p>
    <w:p>
      <w:pPr>
        <w:pStyle w:val="5"/>
        <w:adjustRightInd w:val="0"/>
        <w:snapToGrid w:val="0"/>
        <w:spacing w:before="0" w:after="0" w:line="600" w:lineRule="exact"/>
        <w:ind w:firstLine="640" w:firstLineChars="200"/>
        <w:jc w:val="left"/>
        <w:outlineLvl w:val="9"/>
        <w:rPr>
          <w:rFonts w:ascii="仿宋_GB2312" w:hAnsi="仿宋" w:eastAsia="仿宋_GB2312" w:cs="仿宋"/>
        </w:rPr>
      </w:pPr>
      <w:r>
        <w:rPr>
          <w:rFonts w:hint="eastAsia" w:ascii="仿宋_GB2312" w:hAnsi="仿宋" w:eastAsia="仿宋_GB2312" w:cs="仿宋"/>
          <w:lang w:bidi="ar"/>
        </w:rPr>
        <w:t>绩效评价得分为</w:t>
      </w:r>
      <w:r>
        <w:rPr>
          <w:rFonts w:hint="eastAsia" w:ascii="仿宋_GB2312" w:hAnsi="仿宋" w:eastAsia="仿宋_GB2312" w:cs="仿宋"/>
          <w:lang w:val="en-US" w:eastAsia="zh-CN" w:bidi="ar"/>
        </w:rPr>
        <w:t>99.26</w:t>
      </w:r>
      <w:r>
        <w:rPr>
          <w:rFonts w:hint="eastAsia" w:ascii="仿宋_GB2312" w:hAnsi="仿宋" w:eastAsia="仿宋_GB2312" w:cs="仿宋"/>
          <w:lang w:bidi="ar"/>
        </w:rPr>
        <w:t>分，评价等级为“</w:t>
      </w:r>
      <w:r>
        <w:rPr>
          <w:rFonts w:hint="eastAsia" w:ascii="仿宋_GB2312" w:hAnsi="仿宋" w:eastAsia="仿宋_GB2312" w:cs="仿宋"/>
          <w:lang w:eastAsia="zh-CN" w:bidi="ar"/>
        </w:rPr>
        <w:t>优</w:t>
      </w:r>
      <w:r>
        <w:rPr>
          <w:rFonts w:hint="eastAsia" w:ascii="仿宋_GB2312" w:hAnsi="仿宋" w:eastAsia="仿宋_GB2312" w:cs="仿宋"/>
          <w:lang w:bidi="ar"/>
        </w:rPr>
        <w:t>”。</w:t>
      </w:r>
      <w:r>
        <w:rPr>
          <w:rFonts w:hint="eastAsia" w:ascii="仿宋_GB2312" w:hAnsi="仿宋" w:eastAsia="仿宋_GB2312" w:cs="仿宋"/>
          <w:lang w:eastAsia="zh-CN" w:bidi="ar"/>
        </w:rPr>
        <w:t>（</w:t>
      </w:r>
      <w:r>
        <w:rPr>
          <w:rFonts w:hint="eastAsia" w:ascii="仿宋_GB2312" w:hAnsi="仿宋" w:eastAsia="仿宋_GB2312" w:cs="仿宋"/>
          <w:lang w:val="en-US" w:eastAsia="zh-CN" w:bidi="ar"/>
        </w:rPr>
        <w:t>得分≥</w:t>
      </w:r>
      <w:r>
        <w:rPr>
          <w:rFonts w:hint="eastAsia" w:ascii="仿宋_GB2312" w:hAnsi="仿宋" w:eastAsia="仿宋_GB2312" w:cs="仿宋"/>
          <w:lang w:val="en-US" w:eastAsia="zh-CN"/>
        </w:rPr>
        <w:t>85</w:t>
      </w:r>
      <w:r>
        <w:rPr>
          <w:rFonts w:hint="eastAsia" w:ascii="仿宋_GB2312" w:hAnsi="仿宋" w:eastAsia="仿宋_GB2312" w:cs="仿宋"/>
        </w:rPr>
        <w:t>分为</w:t>
      </w:r>
      <w:r>
        <w:rPr>
          <w:rFonts w:hint="eastAsia" w:ascii="仿宋_GB2312" w:hAnsi="仿宋" w:eastAsia="仿宋_GB2312" w:cs="仿宋"/>
          <w:lang w:val="en-US" w:eastAsia="zh-CN"/>
        </w:rPr>
        <w:t>优秀</w:t>
      </w:r>
      <w:r>
        <w:rPr>
          <w:rFonts w:hint="eastAsia" w:ascii="仿宋_GB2312" w:hAnsi="仿宋" w:eastAsia="仿宋_GB2312" w:cs="仿宋"/>
        </w:rPr>
        <w:t>、</w:t>
      </w:r>
      <w:r>
        <w:rPr>
          <w:rFonts w:hint="eastAsia" w:ascii="仿宋_GB2312" w:hAnsi="仿宋" w:eastAsia="仿宋_GB2312" w:cs="仿宋"/>
          <w:lang w:val="en-US" w:eastAsia="zh-CN"/>
        </w:rPr>
        <w:t>75≤得分&lt;85</w:t>
      </w:r>
      <w:r>
        <w:rPr>
          <w:rFonts w:hint="eastAsia" w:ascii="仿宋_GB2312" w:hAnsi="仿宋" w:eastAsia="仿宋_GB2312" w:cs="仿宋"/>
        </w:rPr>
        <w:t>分为</w:t>
      </w:r>
      <w:r>
        <w:rPr>
          <w:rFonts w:hint="eastAsia" w:ascii="仿宋_GB2312" w:hAnsi="仿宋" w:eastAsia="仿宋_GB2312" w:cs="仿宋"/>
          <w:lang w:val="en-US" w:eastAsia="zh-CN"/>
        </w:rPr>
        <w:t>良好</w:t>
      </w:r>
      <w:r>
        <w:rPr>
          <w:rFonts w:hint="eastAsia" w:ascii="仿宋_GB2312" w:hAnsi="仿宋" w:eastAsia="仿宋_GB2312" w:cs="仿宋"/>
        </w:rPr>
        <w:t>、60</w:t>
      </w:r>
      <w:r>
        <w:rPr>
          <w:rFonts w:hint="eastAsia" w:ascii="仿宋_GB2312" w:hAnsi="仿宋" w:eastAsia="仿宋_GB2312" w:cs="仿宋"/>
          <w:lang w:val="en-US" w:eastAsia="zh-CN"/>
        </w:rPr>
        <w:t>≤得分&lt;75</w:t>
      </w:r>
      <w:r>
        <w:rPr>
          <w:rFonts w:hint="eastAsia" w:ascii="仿宋_GB2312" w:hAnsi="仿宋" w:eastAsia="仿宋_GB2312" w:cs="仿宋"/>
        </w:rPr>
        <w:t>分为一般、</w:t>
      </w:r>
      <w:r>
        <w:rPr>
          <w:rFonts w:hint="eastAsia" w:ascii="仿宋_GB2312" w:hAnsi="仿宋" w:eastAsia="仿宋_GB2312" w:cs="仿宋"/>
          <w:lang w:val="en-US" w:eastAsia="zh-CN"/>
        </w:rPr>
        <w:t>&lt;</w:t>
      </w:r>
      <w:r>
        <w:rPr>
          <w:rFonts w:hint="eastAsia" w:ascii="仿宋_GB2312" w:hAnsi="仿宋" w:eastAsia="仿宋_GB2312" w:cs="仿宋"/>
        </w:rPr>
        <w:t>60分为</w:t>
      </w:r>
      <w:r>
        <w:rPr>
          <w:rFonts w:hint="eastAsia" w:ascii="仿宋_GB2312" w:hAnsi="仿宋" w:eastAsia="仿宋_GB2312" w:cs="仿宋"/>
          <w:lang w:val="en-US" w:eastAsia="zh-CN"/>
        </w:rPr>
        <w:t>较</w:t>
      </w:r>
      <w:r>
        <w:rPr>
          <w:rFonts w:hint="eastAsia" w:ascii="仿宋_GB2312" w:hAnsi="仿宋" w:eastAsia="仿宋_GB2312" w:cs="仿宋"/>
        </w:rPr>
        <w:t>差）。</w:t>
      </w:r>
    </w:p>
    <w:p>
      <w:pPr>
        <w:adjustRightInd w:val="0"/>
        <w:snapToGrid w:val="0"/>
        <w:spacing w:line="600" w:lineRule="exact"/>
        <w:ind w:firstLine="640" w:firstLineChars="200"/>
        <w:rPr>
          <w:rFonts w:hint="eastAsia" w:ascii="仿宋_GB2312" w:hAnsi="仿宋" w:eastAsia="仿宋_GB2312" w:cs="仿宋"/>
          <w:b w:val="0"/>
          <w:color w:val="000000" w:themeColor="text1"/>
          <w:lang w:bidi="ar"/>
          <w14:textFill>
            <w14:solidFill>
              <w14:schemeClr w14:val="tx1"/>
            </w14:solidFill>
          </w14:textFill>
        </w:rPr>
      </w:pPr>
      <w:r>
        <w:rPr>
          <w:rFonts w:hint="eastAsia" w:ascii="仿宋_GB2312" w:hAnsi="仿宋" w:eastAsia="仿宋_GB2312" w:cstheme="majorBidi"/>
          <w:b w:val="0"/>
          <w:bCs/>
          <w:kern w:val="2"/>
          <w:sz w:val="32"/>
          <w:szCs w:val="32"/>
          <w:lang w:val="en-US" w:eastAsia="zh-CN" w:bidi="ar-SA"/>
        </w:rPr>
        <w:t>2022年度政府大楼运行经费总体执行良好，坚持做好机关大院的水电保障工作，力求职工满意度，服务保障范围达到100%，做到进行全县节能管理，办公用房管理的目标</w:t>
      </w:r>
      <w:r>
        <w:rPr>
          <w:rFonts w:hint="eastAsia" w:ascii="仿宋_GB2312" w:hAnsi="仿宋" w:eastAsia="仿宋_GB2312" w:cs="仿宋"/>
          <w:b w:val="0"/>
          <w:color w:val="000000" w:themeColor="text1"/>
          <w:lang w:bidi="ar"/>
          <w14:textFill>
            <w14:solidFill>
              <w14:schemeClr w14:val="tx1"/>
            </w14:solidFill>
          </w14:textFill>
        </w:rPr>
        <w:t>。</w:t>
      </w:r>
    </w:p>
    <w:p>
      <w:pPr>
        <w:adjustRightInd w:val="0"/>
        <w:snapToGrid w:val="0"/>
        <w:spacing w:line="600" w:lineRule="exact"/>
        <w:ind w:firstLine="640" w:firstLineChars="200"/>
        <w:rPr>
          <w:rFonts w:ascii="仿宋_GB2312" w:eastAsia="仿宋_GB2312"/>
          <w:lang w:bidi="ar"/>
        </w:rPr>
      </w:pPr>
      <w:r>
        <w:rPr>
          <w:rFonts w:hint="eastAsia" w:ascii="仿宋_GB2312" w:hAnsi="仿宋" w:eastAsia="仿宋_GB2312" w:cs="仿宋"/>
          <w:sz w:val="32"/>
          <w:szCs w:val="32"/>
          <w:lang w:bidi="ar"/>
        </w:rPr>
        <w:t>具体评价得分情况详见附表。</w:t>
      </w:r>
    </w:p>
    <w:p>
      <w:pPr>
        <w:adjustRightInd w:val="0"/>
        <w:snapToGrid w:val="0"/>
        <w:spacing w:line="600" w:lineRule="exact"/>
        <w:ind w:firstLine="600" w:firstLineChars="200"/>
        <w:outlineLvl w:val="0"/>
        <w:rPr>
          <w:rFonts w:ascii="黑体" w:eastAsia="黑体" w:cs="黑体"/>
          <w:sz w:val="30"/>
          <w:szCs w:val="30"/>
          <w:highlight w:val="none"/>
        </w:rPr>
      </w:pPr>
      <w:bookmarkStart w:id="20" w:name="_Toc43820999"/>
      <w:bookmarkStart w:id="21" w:name="_Toc36216447"/>
      <w:r>
        <w:rPr>
          <w:rFonts w:hint="eastAsia" w:ascii="黑体" w:eastAsia="黑体" w:cs="黑体"/>
          <w:sz w:val="30"/>
          <w:szCs w:val="30"/>
          <w:highlight w:val="none"/>
          <w:lang w:bidi="ar"/>
        </w:rPr>
        <w:t>四、绩效评价指标分析</w:t>
      </w:r>
      <w:bookmarkEnd w:id="20"/>
    </w:p>
    <w:bookmarkEnd w:id="21"/>
    <w:p>
      <w:pPr>
        <w:adjustRightInd w:val="0"/>
        <w:snapToGrid w:val="0"/>
        <w:spacing w:line="600" w:lineRule="exact"/>
        <w:ind w:firstLine="640" w:firstLineChars="200"/>
        <w:outlineLvl w:val="1"/>
        <w:rPr>
          <w:rFonts w:ascii="楷体" w:hAnsi="楷体" w:eastAsia="楷体" w:cs="仿宋"/>
          <w:b/>
          <w:bCs/>
          <w:sz w:val="32"/>
          <w:szCs w:val="32"/>
          <w:highlight w:val="none"/>
          <w:lang w:bidi="ar"/>
        </w:rPr>
      </w:pPr>
      <w:bookmarkStart w:id="22" w:name="_Toc43821002"/>
      <w:bookmarkStart w:id="23" w:name="_Toc36216449"/>
      <w:r>
        <w:rPr>
          <w:rFonts w:hint="eastAsia" w:ascii="楷体" w:hAnsi="楷体" w:eastAsia="楷体" w:cs="仿宋"/>
          <w:b/>
          <w:bCs/>
          <w:sz w:val="32"/>
          <w:szCs w:val="32"/>
          <w:highlight w:val="none"/>
          <w:lang w:bidi="ar"/>
        </w:rPr>
        <w:t>（</w:t>
      </w:r>
      <w:r>
        <w:rPr>
          <w:rFonts w:hint="eastAsia" w:ascii="楷体" w:hAnsi="楷体" w:eastAsia="楷体" w:cs="仿宋"/>
          <w:b/>
          <w:bCs/>
          <w:sz w:val="32"/>
          <w:szCs w:val="32"/>
          <w:highlight w:val="none"/>
          <w:lang w:val="en-US" w:eastAsia="zh-CN" w:bidi="ar"/>
        </w:rPr>
        <w:t>一</w:t>
      </w:r>
      <w:r>
        <w:rPr>
          <w:rFonts w:hint="eastAsia" w:ascii="楷体" w:hAnsi="楷体" w:eastAsia="楷体" w:cs="仿宋"/>
          <w:b/>
          <w:bCs/>
          <w:sz w:val="32"/>
          <w:szCs w:val="32"/>
          <w:highlight w:val="none"/>
          <w:lang w:bidi="ar"/>
        </w:rPr>
        <w:t>）项目产出情况</w:t>
      </w:r>
      <w:bookmarkEnd w:id="22"/>
      <w:bookmarkEnd w:id="23"/>
    </w:p>
    <w:p>
      <w:pPr>
        <w:pStyle w:val="5"/>
        <w:adjustRightInd w:val="0"/>
        <w:snapToGrid w:val="0"/>
        <w:spacing w:before="0" w:after="0" w:line="600" w:lineRule="exact"/>
        <w:ind w:firstLine="640" w:firstLineChars="200"/>
        <w:jc w:val="left"/>
        <w:outlineLvl w:val="9"/>
        <w:rPr>
          <w:rFonts w:hint="default" w:ascii="仿宋_GB2312" w:hAnsi="仿宋" w:eastAsia="仿宋_GB2312"/>
          <w:b w:val="0"/>
          <w:kern w:val="0"/>
          <w:lang w:val="en-US" w:eastAsia="zh-CN"/>
        </w:rPr>
      </w:pPr>
      <w:r>
        <w:rPr>
          <w:rFonts w:hint="eastAsia" w:ascii="仿宋_GB2312" w:hAnsi="仿宋" w:eastAsia="仿宋_GB2312" w:cs="仿宋"/>
          <w:b w:val="0"/>
          <w:lang w:bidi="ar"/>
        </w:rPr>
        <w:t>该项目基本能够按照项目工作计划完成，</w:t>
      </w:r>
      <w:r>
        <w:rPr>
          <w:rFonts w:hint="eastAsia" w:ascii="仿宋_GB2312" w:hAnsi="仿宋" w:eastAsia="仿宋_GB2312" w:cs="仿宋"/>
          <w:b w:val="0"/>
          <w:lang w:eastAsia="zh-CN" w:bidi="ar"/>
        </w:rPr>
        <w:t>产出数量质量都能够达到目标要求，产出时效性较及时，产出成本节约率高</w:t>
      </w:r>
      <w:r>
        <w:rPr>
          <w:rFonts w:hint="eastAsia" w:ascii="仿宋_GB2312" w:hAnsi="仿宋" w:eastAsia="仿宋_GB2312" w:cs="仿宋"/>
          <w:b w:val="0"/>
          <w:lang w:bidi="ar"/>
        </w:rPr>
        <w:t>。</w:t>
      </w:r>
      <w:r>
        <w:rPr>
          <w:rFonts w:hint="eastAsia" w:ascii="仿宋_GB2312" w:hAnsi="仿宋" w:eastAsia="仿宋_GB2312"/>
          <w:b w:val="0"/>
          <w:kern w:val="0"/>
        </w:rPr>
        <w:t>指标分值</w:t>
      </w:r>
      <w:r>
        <w:rPr>
          <w:rFonts w:hint="eastAsia" w:ascii="仿宋_GB2312" w:hAnsi="仿宋" w:eastAsia="仿宋_GB2312"/>
          <w:b w:val="0"/>
          <w:bCs w:val="0"/>
          <w:kern w:val="0"/>
          <w:lang w:val="en-US" w:eastAsia="zh-CN"/>
        </w:rPr>
        <w:t>50</w:t>
      </w:r>
      <w:r>
        <w:rPr>
          <w:rFonts w:hint="eastAsia" w:ascii="仿宋_GB2312" w:hAnsi="仿宋" w:eastAsia="仿宋_GB2312"/>
          <w:b w:val="0"/>
          <w:kern w:val="0"/>
        </w:rPr>
        <w:t>分，下设</w:t>
      </w:r>
      <w:r>
        <w:rPr>
          <w:rFonts w:hint="eastAsia" w:ascii="仿宋_GB2312" w:hAnsi="仿宋" w:eastAsia="仿宋_GB2312"/>
          <w:b w:val="0"/>
          <w:kern w:val="0"/>
          <w:lang w:val="en-US" w:eastAsia="zh-CN"/>
        </w:rPr>
        <w:t>4</w:t>
      </w:r>
      <w:r>
        <w:rPr>
          <w:rFonts w:hint="eastAsia" w:ascii="仿宋_GB2312" w:hAnsi="仿宋" w:eastAsia="仿宋_GB2312"/>
          <w:b w:val="0"/>
          <w:kern w:val="0"/>
        </w:rPr>
        <w:t>个</w:t>
      </w:r>
      <w:r>
        <w:rPr>
          <w:rFonts w:hint="eastAsia" w:ascii="仿宋_GB2312" w:hAnsi="仿宋" w:eastAsia="仿宋_GB2312"/>
          <w:b w:val="0"/>
          <w:bCs w:val="0"/>
          <w:kern w:val="0"/>
        </w:rPr>
        <w:t>二</w:t>
      </w:r>
      <w:r>
        <w:rPr>
          <w:rFonts w:hint="eastAsia" w:ascii="仿宋_GB2312" w:hAnsi="仿宋" w:eastAsia="仿宋_GB2312"/>
          <w:b w:val="0"/>
          <w:kern w:val="0"/>
        </w:rPr>
        <w:t>级指标</w:t>
      </w:r>
      <w:r>
        <w:rPr>
          <w:rFonts w:hint="eastAsia" w:ascii="仿宋_GB2312" w:hAnsi="仿宋" w:eastAsia="仿宋_GB2312"/>
          <w:b w:val="0"/>
          <w:kern w:val="0"/>
          <w:highlight w:val="none"/>
        </w:rPr>
        <w:t>和</w:t>
      </w:r>
      <w:r>
        <w:rPr>
          <w:rFonts w:hint="eastAsia" w:ascii="仿宋_GB2312" w:hAnsi="仿宋" w:eastAsia="仿宋_GB2312"/>
          <w:b w:val="0"/>
          <w:bCs w:val="0"/>
          <w:kern w:val="0"/>
          <w:highlight w:val="none"/>
          <w:lang w:val="en-US" w:eastAsia="zh-CN"/>
        </w:rPr>
        <w:t>4</w:t>
      </w:r>
      <w:r>
        <w:rPr>
          <w:rFonts w:hint="eastAsia" w:ascii="仿宋_GB2312" w:hAnsi="仿宋" w:eastAsia="仿宋_GB2312"/>
          <w:b w:val="0"/>
          <w:kern w:val="0"/>
          <w:highlight w:val="none"/>
        </w:rPr>
        <w:t>个三级指标</w:t>
      </w:r>
      <w:r>
        <w:rPr>
          <w:rFonts w:hint="eastAsia" w:ascii="仿宋_GB2312" w:hAnsi="仿宋" w:eastAsia="仿宋_GB2312"/>
          <w:b w:val="0"/>
          <w:kern w:val="0"/>
        </w:rPr>
        <w:t>，评价得分</w:t>
      </w:r>
      <w:r>
        <w:rPr>
          <w:rFonts w:hint="eastAsia" w:ascii="仿宋_GB2312" w:hAnsi="仿宋" w:eastAsia="仿宋_GB2312"/>
          <w:b w:val="0"/>
          <w:bCs w:val="0"/>
          <w:kern w:val="0"/>
          <w:lang w:val="en-US" w:eastAsia="zh-CN"/>
        </w:rPr>
        <w:t>50</w:t>
      </w:r>
      <w:r>
        <w:rPr>
          <w:rFonts w:hint="eastAsia" w:ascii="仿宋_GB2312" w:hAnsi="仿宋" w:eastAsia="仿宋_GB2312"/>
          <w:b w:val="0"/>
          <w:kern w:val="0"/>
        </w:rPr>
        <w:t>分</w:t>
      </w:r>
      <w:r>
        <w:rPr>
          <w:rFonts w:hint="eastAsia" w:ascii="仿宋_GB2312" w:hAnsi="仿宋" w:eastAsia="仿宋_GB2312"/>
          <w:b w:val="0"/>
          <w:kern w:val="0"/>
          <w:lang w:eastAsia="zh-CN"/>
        </w:rPr>
        <w:t>。具体情况详见表</w:t>
      </w:r>
      <w:r>
        <w:rPr>
          <w:rFonts w:hint="eastAsia" w:ascii="仿宋_GB2312" w:hAnsi="仿宋" w:eastAsia="仿宋_GB2312"/>
          <w:b w:val="0"/>
          <w:kern w:val="0"/>
          <w:lang w:val="en-US" w:eastAsia="zh-CN"/>
        </w:rPr>
        <w:t>2</w:t>
      </w:r>
    </w:p>
    <w:p>
      <w:pPr>
        <w:pStyle w:val="10"/>
        <w:tabs>
          <w:tab w:val="left" w:pos="0"/>
          <w:tab w:val="left" w:pos="1276"/>
          <w:tab w:val="left" w:pos="1418"/>
        </w:tabs>
        <w:adjustRightInd w:val="0"/>
        <w:snapToGrid w:val="0"/>
        <w:spacing w:line="360" w:lineRule="auto"/>
        <w:ind w:left="0" w:firstLine="0" w:firstLineChars="0"/>
        <w:jc w:val="center"/>
        <w:rPr>
          <w:rFonts w:ascii="黑体" w:hAnsi="黑体" w:eastAsia="黑体"/>
          <w:sz w:val="24"/>
          <w:szCs w:val="24"/>
        </w:rPr>
      </w:pPr>
      <w:r>
        <w:rPr>
          <w:rFonts w:hint="eastAsia" w:ascii="黑体" w:hAnsi="黑体" w:eastAsia="黑体"/>
          <w:sz w:val="24"/>
          <w:szCs w:val="24"/>
        </w:rPr>
        <w:t>项目产出指标得分情况</w:t>
      </w:r>
    </w:p>
    <w:tbl>
      <w:tblPr>
        <w:tblStyle w:val="6"/>
        <w:tblW w:w="4951" w:type="pct"/>
        <w:jc w:val="center"/>
        <w:tblLayout w:type="fixed"/>
        <w:tblCellMar>
          <w:top w:w="0" w:type="dxa"/>
          <w:left w:w="108" w:type="dxa"/>
          <w:bottom w:w="0" w:type="dxa"/>
          <w:right w:w="108" w:type="dxa"/>
        </w:tblCellMar>
      </w:tblPr>
      <w:tblGrid>
        <w:gridCol w:w="1138"/>
        <w:gridCol w:w="2092"/>
        <w:gridCol w:w="3493"/>
        <w:gridCol w:w="875"/>
        <w:gridCol w:w="847"/>
      </w:tblGrid>
      <w:tr>
        <w:tblPrEx>
          <w:tblCellMar>
            <w:top w:w="0" w:type="dxa"/>
            <w:left w:w="108" w:type="dxa"/>
            <w:bottom w:w="0" w:type="dxa"/>
            <w:right w:w="108" w:type="dxa"/>
          </w:tblCellMar>
        </w:tblPrEx>
        <w:trPr>
          <w:trHeight w:val="391" w:hRule="atLeast"/>
          <w:tblHeader/>
          <w:jc w:val="center"/>
        </w:trPr>
        <w:tc>
          <w:tcPr>
            <w:tcW w:w="673" w:type="pct"/>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b/>
                <w:bCs/>
                <w:color w:val="000000"/>
                <w:sz w:val="22"/>
              </w:rPr>
            </w:pPr>
            <w:r>
              <w:rPr>
                <w:rFonts w:hint="eastAsia"/>
                <w:b/>
                <w:bCs/>
                <w:color w:val="000000"/>
                <w:sz w:val="22"/>
              </w:rPr>
              <w:t>一级指标</w:t>
            </w:r>
          </w:p>
        </w:tc>
        <w:tc>
          <w:tcPr>
            <w:tcW w:w="1238" w:type="pct"/>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jc w:val="center"/>
              <w:rPr>
                <w:b/>
                <w:bCs/>
                <w:color w:val="000000"/>
                <w:sz w:val="22"/>
              </w:rPr>
            </w:pPr>
            <w:r>
              <w:rPr>
                <w:rFonts w:hint="eastAsia"/>
                <w:b/>
                <w:bCs/>
                <w:color w:val="000000"/>
                <w:sz w:val="22"/>
              </w:rPr>
              <w:t>二级指标</w:t>
            </w:r>
          </w:p>
        </w:tc>
        <w:tc>
          <w:tcPr>
            <w:tcW w:w="2068" w:type="pct"/>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jc w:val="center"/>
              <w:rPr>
                <w:b/>
                <w:bCs/>
                <w:color w:val="000000"/>
                <w:sz w:val="22"/>
              </w:rPr>
            </w:pPr>
            <w:r>
              <w:rPr>
                <w:rFonts w:hint="eastAsia"/>
                <w:b/>
                <w:bCs/>
                <w:color w:val="000000"/>
                <w:sz w:val="22"/>
              </w:rPr>
              <w:t>三级指标</w:t>
            </w:r>
          </w:p>
        </w:tc>
        <w:tc>
          <w:tcPr>
            <w:tcW w:w="518" w:type="pct"/>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jc w:val="center"/>
              <w:rPr>
                <w:b/>
                <w:bCs/>
                <w:color w:val="000000"/>
                <w:sz w:val="22"/>
              </w:rPr>
            </w:pPr>
            <w:r>
              <w:rPr>
                <w:rFonts w:hint="eastAsia"/>
                <w:b/>
                <w:bCs/>
                <w:color w:val="000000"/>
                <w:sz w:val="22"/>
              </w:rPr>
              <w:t>分值</w:t>
            </w:r>
          </w:p>
        </w:tc>
        <w:tc>
          <w:tcPr>
            <w:tcW w:w="501" w:type="pct"/>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jc w:val="center"/>
              <w:rPr>
                <w:b/>
                <w:bCs/>
                <w:color w:val="000000"/>
                <w:sz w:val="22"/>
              </w:rPr>
            </w:pPr>
            <w:r>
              <w:rPr>
                <w:rFonts w:hint="eastAsia"/>
                <w:b/>
                <w:bCs/>
                <w:color w:val="000000"/>
                <w:sz w:val="22"/>
              </w:rPr>
              <w:t>得分</w:t>
            </w:r>
          </w:p>
        </w:tc>
      </w:tr>
      <w:tr>
        <w:tblPrEx>
          <w:tblCellMar>
            <w:top w:w="0" w:type="dxa"/>
            <w:left w:w="108" w:type="dxa"/>
            <w:bottom w:w="0" w:type="dxa"/>
            <w:right w:w="108" w:type="dxa"/>
          </w:tblCellMar>
        </w:tblPrEx>
        <w:trPr>
          <w:trHeight w:val="472" w:hRule="atLeast"/>
          <w:jc w:val="center"/>
        </w:trPr>
        <w:tc>
          <w:tcPr>
            <w:tcW w:w="673" w:type="pct"/>
            <w:vMerge w:val="restart"/>
            <w:tcBorders>
              <w:top w:val="nil"/>
              <w:left w:val="single" w:color="auto" w:sz="4" w:space="0"/>
              <w:right w:val="single" w:color="auto" w:sz="4" w:space="0"/>
            </w:tcBorders>
            <w:shd w:val="clear" w:color="auto" w:fill="auto"/>
            <w:vAlign w:val="center"/>
          </w:tcPr>
          <w:p>
            <w:pPr>
              <w:adjustRightInd w:val="0"/>
              <w:snapToGrid w:val="0"/>
              <w:jc w:val="center"/>
              <w:rPr>
                <w:rFonts w:hint="eastAsia" w:eastAsiaTheme="minorEastAsia"/>
                <w:color w:val="000000"/>
                <w:sz w:val="22"/>
                <w:lang w:eastAsia="zh-CN"/>
              </w:rPr>
            </w:pPr>
            <w:r>
              <w:rPr>
                <w:rFonts w:hint="eastAsia"/>
                <w:color w:val="000000"/>
                <w:sz w:val="22"/>
              </w:rPr>
              <w:t>产出</w:t>
            </w:r>
          </w:p>
          <w:p>
            <w:pPr>
              <w:adjustRightInd w:val="0"/>
              <w:snapToGrid w:val="0"/>
              <w:jc w:val="center"/>
              <w:rPr>
                <w:color w:val="000000"/>
                <w:sz w:val="22"/>
              </w:rPr>
            </w:pPr>
            <w:r>
              <w:rPr>
                <w:rFonts w:hint="eastAsia"/>
                <w:color w:val="000000"/>
                <w:sz w:val="22"/>
              </w:rPr>
              <w:t>(40分）</w:t>
            </w:r>
          </w:p>
        </w:tc>
        <w:tc>
          <w:tcPr>
            <w:tcW w:w="12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color w:val="000000"/>
                <w:sz w:val="22"/>
              </w:rPr>
            </w:pPr>
            <w:r>
              <w:rPr>
                <w:rFonts w:hint="eastAsia"/>
                <w:color w:val="000000"/>
                <w:sz w:val="22"/>
              </w:rPr>
              <w:t>产出数量（</w:t>
            </w:r>
            <w:r>
              <w:rPr>
                <w:rFonts w:hint="eastAsia"/>
                <w:color w:val="000000"/>
                <w:sz w:val="22"/>
                <w:lang w:val="en-US" w:eastAsia="zh-CN"/>
              </w:rPr>
              <w:t>10</w:t>
            </w:r>
            <w:r>
              <w:rPr>
                <w:rFonts w:hint="eastAsia"/>
                <w:color w:val="000000"/>
                <w:sz w:val="22"/>
              </w:rPr>
              <w:t>分）</w:t>
            </w:r>
          </w:p>
        </w:tc>
        <w:tc>
          <w:tcPr>
            <w:tcW w:w="3493"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jc w:val="center"/>
              <w:rPr>
                <w:rFonts w:hint="default"/>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项目完成情况 资金拨付准确</w:t>
            </w:r>
          </w:p>
        </w:tc>
        <w:tc>
          <w:tcPr>
            <w:tcW w:w="518"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hint="default" w:eastAsiaTheme="minorEastAsia"/>
                <w:color w:val="000000"/>
                <w:sz w:val="22"/>
                <w:lang w:val="en-US" w:eastAsia="zh-CN"/>
              </w:rPr>
            </w:pPr>
            <w:r>
              <w:rPr>
                <w:rFonts w:hint="eastAsia"/>
                <w:color w:val="000000"/>
                <w:sz w:val="22"/>
                <w:lang w:val="en-US" w:eastAsia="zh-CN"/>
              </w:rPr>
              <w:t>10</w:t>
            </w:r>
          </w:p>
        </w:tc>
        <w:tc>
          <w:tcPr>
            <w:tcW w:w="847" w:type="dxa"/>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hint="default" w:eastAsiaTheme="minorEastAsia"/>
                <w:color w:val="000000"/>
                <w:sz w:val="22"/>
                <w:lang w:val="en-US" w:eastAsia="zh-CN"/>
              </w:rPr>
            </w:pPr>
            <w:r>
              <w:rPr>
                <w:rFonts w:hint="eastAsia"/>
                <w:color w:val="000000"/>
                <w:sz w:val="22"/>
                <w:lang w:val="en-US" w:eastAsia="zh-CN"/>
              </w:rPr>
              <w:t>10</w:t>
            </w:r>
          </w:p>
        </w:tc>
      </w:tr>
      <w:tr>
        <w:tblPrEx>
          <w:tblCellMar>
            <w:top w:w="0" w:type="dxa"/>
            <w:left w:w="108" w:type="dxa"/>
            <w:bottom w:w="0" w:type="dxa"/>
            <w:right w:w="108" w:type="dxa"/>
          </w:tblCellMar>
        </w:tblPrEx>
        <w:trPr>
          <w:trHeight w:val="555" w:hRule="atLeast"/>
          <w:jc w:val="center"/>
        </w:trPr>
        <w:tc>
          <w:tcPr>
            <w:tcW w:w="673" w:type="pct"/>
            <w:vMerge w:val="continue"/>
            <w:tcBorders>
              <w:left w:val="single" w:color="auto" w:sz="4" w:space="0"/>
              <w:right w:val="single" w:color="auto" w:sz="4" w:space="0"/>
            </w:tcBorders>
            <w:shd w:val="clear" w:color="auto" w:fill="auto"/>
            <w:vAlign w:val="center"/>
          </w:tcPr>
          <w:p>
            <w:pPr>
              <w:adjustRightInd w:val="0"/>
              <w:snapToGrid w:val="0"/>
              <w:jc w:val="center"/>
              <w:rPr>
                <w:rFonts w:hint="eastAsia"/>
                <w:color w:val="000000"/>
                <w:sz w:val="22"/>
              </w:rPr>
            </w:pPr>
          </w:p>
        </w:tc>
        <w:tc>
          <w:tcPr>
            <w:tcW w:w="1238" w:type="pct"/>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jc w:val="center"/>
              <w:rPr>
                <w:rFonts w:hint="eastAsia" w:asciiTheme="minorHAnsi" w:hAnsiTheme="minorHAnsi" w:eastAsiaTheme="minorEastAsia" w:cstheme="minorBidi"/>
                <w:color w:val="000000"/>
                <w:kern w:val="2"/>
                <w:sz w:val="22"/>
                <w:szCs w:val="22"/>
                <w:lang w:val="en-US" w:eastAsia="zh-CN" w:bidi="ar-SA"/>
              </w:rPr>
            </w:pPr>
            <w:r>
              <w:rPr>
                <w:rFonts w:hint="eastAsia"/>
                <w:color w:val="000000"/>
                <w:sz w:val="22"/>
              </w:rPr>
              <w:t>产出质量（</w:t>
            </w:r>
            <w:r>
              <w:rPr>
                <w:rFonts w:hint="eastAsia"/>
                <w:color w:val="000000"/>
                <w:sz w:val="22"/>
                <w:lang w:val="en-US" w:eastAsia="zh-CN"/>
              </w:rPr>
              <w:t>20分</w:t>
            </w:r>
            <w:r>
              <w:rPr>
                <w:rFonts w:hint="eastAsia"/>
                <w:color w:val="000000"/>
                <w:sz w:val="22"/>
              </w:rPr>
              <w:t>）</w:t>
            </w:r>
          </w:p>
        </w:tc>
        <w:tc>
          <w:tcPr>
            <w:tcW w:w="3493"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jc w:val="center"/>
              <w:rPr>
                <w:rFonts w:hint="default"/>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完成率 政府采购率</w:t>
            </w:r>
          </w:p>
        </w:tc>
        <w:tc>
          <w:tcPr>
            <w:tcW w:w="518"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hint="default"/>
                <w:color w:val="000000"/>
                <w:sz w:val="22"/>
                <w:lang w:val="en-US" w:eastAsia="zh-CN"/>
              </w:rPr>
            </w:pPr>
            <w:r>
              <w:rPr>
                <w:rFonts w:hint="eastAsia"/>
                <w:color w:val="000000"/>
                <w:sz w:val="22"/>
                <w:lang w:val="en-US" w:eastAsia="zh-CN"/>
              </w:rPr>
              <w:t>20</w:t>
            </w:r>
          </w:p>
        </w:tc>
        <w:tc>
          <w:tcPr>
            <w:tcW w:w="847" w:type="dxa"/>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hint="eastAsia"/>
                <w:color w:val="000000"/>
                <w:sz w:val="22"/>
                <w:lang w:val="en-US" w:eastAsia="zh-CN"/>
              </w:rPr>
            </w:pPr>
            <w:r>
              <w:rPr>
                <w:rFonts w:hint="eastAsia"/>
                <w:color w:val="000000"/>
                <w:sz w:val="22"/>
                <w:lang w:val="en-US" w:eastAsia="zh-CN"/>
              </w:rPr>
              <w:t>20</w:t>
            </w:r>
          </w:p>
        </w:tc>
      </w:tr>
      <w:tr>
        <w:tblPrEx>
          <w:tblCellMar>
            <w:top w:w="0" w:type="dxa"/>
            <w:left w:w="108" w:type="dxa"/>
            <w:bottom w:w="0" w:type="dxa"/>
            <w:right w:w="108" w:type="dxa"/>
          </w:tblCellMar>
        </w:tblPrEx>
        <w:trPr>
          <w:trHeight w:val="538" w:hRule="atLeast"/>
          <w:jc w:val="center"/>
        </w:trPr>
        <w:tc>
          <w:tcPr>
            <w:tcW w:w="673" w:type="pct"/>
            <w:vMerge w:val="continue"/>
            <w:tcBorders>
              <w:left w:val="single" w:color="auto" w:sz="4" w:space="0"/>
              <w:right w:val="single" w:color="auto" w:sz="4" w:space="0"/>
            </w:tcBorders>
            <w:vAlign w:val="center"/>
          </w:tcPr>
          <w:p>
            <w:pPr>
              <w:adjustRightInd w:val="0"/>
              <w:snapToGrid w:val="0"/>
              <w:jc w:val="center"/>
              <w:rPr>
                <w:color w:val="000000"/>
                <w:sz w:val="22"/>
              </w:rPr>
            </w:pPr>
          </w:p>
        </w:tc>
        <w:tc>
          <w:tcPr>
            <w:tcW w:w="1238" w:type="pct"/>
            <w:tcBorders>
              <w:left w:val="nil"/>
              <w:right w:val="single" w:color="auto" w:sz="4" w:space="0"/>
            </w:tcBorders>
            <w:shd w:val="clear" w:color="auto" w:fill="auto"/>
            <w:noWrap/>
            <w:vAlign w:val="center"/>
          </w:tcPr>
          <w:p>
            <w:pPr>
              <w:adjustRightInd w:val="0"/>
              <w:snapToGrid w:val="0"/>
              <w:jc w:val="center"/>
              <w:rPr>
                <w:rFonts w:asciiTheme="minorHAnsi" w:hAnsiTheme="minorHAnsi" w:eastAsiaTheme="minorEastAsia" w:cstheme="minorBidi"/>
                <w:color w:val="000000"/>
                <w:kern w:val="2"/>
                <w:sz w:val="22"/>
                <w:szCs w:val="22"/>
                <w:lang w:val="en-US" w:eastAsia="zh-CN" w:bidi="ar-SA"/>
              </w:rPr>
            </w:pPr>
            <w:r>
              <w:rPr>
                <w:rFonts w:hint="eastAsia"/>
                <w:color w:val="000000"/>
                <w:sz w:val="22"/>
              </w:rPr>
              <w:t>产出时效（</w:t>
            </w:r>
            <w:r>
              <w:rPr>
                <w:rFonts w:hint="eastAsia"/>
                <w:color w:val="000000"/>
                <w:sz w:val="22"/>
                <w:lang w:val="en-US" w:eastAsia="zh-CN"/>
              </w:rPr>
              <w:t>10分</w:t>
            </w:r>
            <w:r>
              <w:rPr>
                <w:rFonts w:hint="eastAsia"/>
                <w:color w:val="000000"/>
                <w:sz w:val="22"/>
              </w:rPr>
              <w:t>）</w:t>
            </w:r>
          </w:p>
        </w:tc>
        <w:tc>
          <w:tcPr>
            <w:tcW w:w="3493"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jc w:val="center"/>
              <w:rPr>
                <w:rFonts w:hint="default"/>
                <w:color w:val="000000"/>
                <w:sz w:val="22"/>
                <w:lang w:val="en-US" w:eastAsia="zh-CN"/>
              </w:rPr>
            </w:pPr>
            <w:r>
              <w:rPr>
                <w:rFonts w:hint="eastAsia" w:ascii="宋体" w:hAnsi="宋体" w:eastAsia="宋体" w:cs="宋体"/>
                <w:i w:val="0"/>
                <w:iCs w:val="0"/>
                <w:color w:val="000000"/>
                <w:kern w:val="0"/>
                <w:sz w:val="22"/>
                <w:szCs w:val="22"/>
                <w:u w:val="none"/>
                <w:lang w:val="en-US" w:eastAsia="zh-CN" w:bidi="ar"/>
              </w:rPr>
              <w:t>完成及时率 资金拨付率</w:t>
            </w:r>
          </w:p>
        </w:tc>
        <w:tc>
          <w:tcPr>
            <w:tcW w:w="518"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hint="default" w:eastAsiaTheme="minorEastAsia"/>
                <w:color w:val="000000"/>
                <w:sz w:val="22"/>
                <w:lang w:val="en-US" w:eastAsia="zh-CN"/>
              </w:rPr>
            </w:pPr>
            <w:r>
              <w:rPr>
                <w:rFonts w:hint="eastAsia"/>
                <w:color w:val="000000"/>
                <w:sz w:val="22"/>
                <w:lang w:val="en-US" w:eastAsia="zh-CN"/>
              </w:rPr>
              <w:t>10</w:t>
            </w:r>
          </w:p>
        </w:tc>
        <w:tc>
          <w:tcPr>
            <w:tcW w:w="847" w:type="dxa"/>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hint="default" w:eastAsiaTheme="minorEastAsia"/>
                <w:color w:val="000000"/>
                <w:sz w:val="22"/>
                <w:lang w:val="en-US" w:eastAsia="zh-CN"/>
              </w:rPr>
            </w:pPr>
            <w:r>
              <w:rPr>
                <w:rFonts w:hint="eastAsia"/>
                <w:color w:val="000000"/>
                <w:sz w:val="22"/>
                <w:lang w:val="en-US" w:eastAsia="zh-CN"/>
              </w:rPr>
              <w:t>10</w:t>
            </w:r>
          </w:p>
        </w:tc>
      </w:tr>
      <w:tr>
        <w:tblPrEx>
          <w:tblCellMar>
            <w:top w:w="0" w:type="dxa"/>
            <w:left w:w="108" w:type="dxa"/>
            <w:bottom w:w="0" w:type="dxa"/>
            <w:right w:w="108" w:type="dxa"/>
          </w:tblCellMar>
        </w:tblPrEx>
        <w:trPr>
          <w:trHeight w:val="542" w:hRule="atLeast"/>
          <w:jc w:val="center"/>
        </w:trPr>
        <w:tc>
          <w:tcPr>
            <w:tcW w:w="673" w:type="pct"/>
            <w:vMerge w:val="continue"/>
            <w:tcBorders>
              <w:left w:val="single" w:color="auto" w:sz="4" w:space="0"/>
              <w:right w:val="single" w:color="auto" w:sz="4" w:space="0"/>
            </w:tcBorders>
            <w:vAlign w:val="center"/>
          </w:tcPr>
          <w:p>
            <w:pPr>
              <w:adjustRightInd w:val="0"/>
              <w:snapToGrid w:val="0"/>
              <w:jc w:val="center"/>
              <w:rPr>
                <w:color w:val="000000"/>
                <w:sz w:val="22"/>
              </w:rPr>
            </w:pPr>
          </w:p>
        </w:tc>
        <w:tc>
          <w:tcPr>
            <w:tcW w:w="1238" w:type="pct"/>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jc w:val="center"/>
              <w:rPr>
                <w:color w:val="000000"/>
                <w:sz w:val="22"/>
              </w:rPr>
            </w:pPr>
            <w:r>
              <w:rPr>
                <w:rFonts w:hint="eastAsia"/>
                <w:color w:val="000000"/>
                <w:sz w:val="22"/>
              </w:rPr>
              <w:t>产出</w:t>
            </w:r>
            <w:r>
              <w:rPr>
                <w:rFonts w:hint="eastAsia"/>
                <w:color w:val="000000"/>
                <w:sz w:val="22"/>
                <w:lang w:eastAsia="zh-CN"/>
              </w:rPr>
              <w:t>成本</w:t>
            </w:r>
            <w:r>
              <w:rPr>
                <w:rFonts w:hint="eastAsia"/>
                <w:color w:val="000000"/>
                <w:sz w:val="22"/>
              </w:rPr>
              <w:t>（</w:t>
            </w:r>
            <w:r>
              <w:rPr>
                <w:rFonts w:hint="eastAsia"/>
                <w:color w:val="000000"/>
                <w:sz w:val="22"/>
                <w:lang w:val="en-US" w:eastAsia="zh-CN"/>
              </w:rPr>
              <w:t>10</w:t>
            </w:r>
            <w:r>
              <w:rPr>
                <w:rFonts w:hint="eastAsia"/>
                <w:color w:val="000000"/>
                <w:sz w:val="22"/>
              </w:rPr>
              <w:t>分）</w:t>
            </w:r>
          </w:p>
        </w:tc>
        <w:tc>
          <w:tcPr>
            <w:tcW w:w="3493" w:type="dxa"/>
            <w:tcBorders>
              <w:top w:val="single" w:color="auto" w:sz="4" w:space="0"/>
              <w:left w:val="nil"/>
              <w:bottom w:val="single" w:color="auto" w:sz="4" w:space="0"/>
              <w:right w:val="single" w:color="auto" w:sz="4" w:space="0"/>
            </w:tcBorders>
            <w:shd w:val="clear" w:color="auto" w:fill="auto"/>
            <w:noWrap/>
            <w:vAlign w:val="center"/>
          </w:tcPr>
          <w:p>
            <w:pPr>
              <w:adjustRightInd w:val="0"/>
              <w:snapToGrid w:val="0"/>
              <w:jc w:val="center"/>
              <w:rPr>
                <w:rFonts w:hint="eastAsia"/>
                <w:color w:val="000000"/>
                <w:sz w:val="22"/>
              </w:rPr>
            </w:pPr>
            <w:r>
              <w:rPr>
                <w:rFonts w:hint="eastAsia" w:ascii="宋体" w:hAnsi="宋体" w:eastAsia="宋体" w:cs="宋体"/>
                <w:i w:val="0"/>
                <w:iCs w:val="0"/>
                <w:color w:val="000000"/>
                <w:kern w:val="0"/>
                <w:sz w:val="22"/>
                <w:szCs w:val="22"/>
                <w:u w:val="none"/>
                <w:lang w:val="en-US" w:eastAsia="zh-CN" w:bidi="ar"/>
              </w:rPr>
              <w:t>按预算资金完成率 对政府大楼大院的保障服务成本</w:t>
            </w:r>
          </w:p>
        </w:tc>
        <w:tc>
          <w:tcPr>
            <w:tcW w:w="518"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hint="default" w:eastAsiaTheme="minorEastAsia"/>
                <w:color w:val="000000"/>
                <w:sz w:val="22"/>
                <w:lang w:val="en-US" w:eastAsia="zh-CN"/>
              </w:rPr>
            </w:pPr>
            <w:r>
              <w:rPr>
                <w:rFonts w:hint="eastAsia"/>
                <w:color w:val="000000"/>
                <w:sz w:val="22"/>
                <w:lang w:val="en-US" w:eastAsia="zh-CN"/>
              </w:rPr>
              <w:t>10</w:t>
            </w:r>
          </w:p>
        </w:tc>
        <w:tc>
          <w:tcPr>
            <w:tcW w:w="847" w:type="dxa"/>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hint="default" w:eastAsiaTheme="minorEastAsia"/>
                <w:color w:val="000000"/>
                <w:sz w:val="22"/>
                <w:lang w:val="en-US" w:eastAsia="zh-CN"/>
              </w:rPr>
            </w:pPr>
            <w:r>
              <w:rPr>
                <w:rFonts w:hint="eastAsia"/>
                <w:color w:val="000000"/>
                <w:sz w:val="22"/>
                <w:lang w:val="en-US" w:eastAsia="zh-CN"/>
              </w:rPr>
              <w:t>10</w:t>
            </w:r>
          </w:p>
        </w:tc>
      </w:tr>
      <w:tr>
        <w:tblPrEx>
          <w:tblCellMar>
            <w:top w:w="0" w:type="dxa"/>
            <w:left w:w="108" w:type="dxa"/>
            <w:bottom w:w="0" w:type="dxa"/>
            <w:right w:w="108" w:type="dxa"/>
          </w:tblCellMar>
        </w:tblPrEx>
        <w:trPr>
          <w:trHeight w:val="455" w:hRule="atLeast"/>
          <w:jc w:val="center"/>
        </w:trPr>
        <w:tc>
          <w:tcPr>
            <w:tcW w:w="3980"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jc w:val="center"/>
              <w:rPr>
                <w:b/>
                <w:bCs/>
                <w:color w:val="000000"/>
                <w:sz w:val="22"/>
              </w:rPr>
            </w:pPr>
            <w:r>
              <w:rPr>
                <w:rFonts w:hint="eastAsia"/>
                <w:b/>
                <w:bCs/>
                <w:color w:val="000000"/>
                <w:sz w:val="22"/>
              </w:rPr>
              <w:t>合计</w:t>
            </w:r>
          </w:p>
        </w:tc>
        <w:tc>
          <w:tcPr>
            <w:tcW w:w="518" w:type="pct"/>
            <w:tcBorders>
              <w:top w:val="nil"/>
              <w:left w:val="nil"/>
              <w:bottom w:val="single" w:color="auto" w:sz="4" w:space="0"/>
              <w:right w:val="single" w:color="auto" w:sz="4" w:space="0"/>
            </w:tcBorders>
            <w:shd w:val="clear" w:color="auto" w:fill="auto"/>
            <w:noWrap/>
            <w:vAlign w:val="center"/>
          </w:tcPr>
          <w:p>
            <w:pPr>
              <w:adjustRightInd w:val="0"/>
              <w:snapToGrid w:val="0"/>
              <w:jc w:val="center"/>
              <w:rPr>
                <w:b/>
                <w:bCs/>
                <w:color w:val="000000"/>
                <w:sz w:val="22"/>
              </w:rPr>
            </w:pPr>
            <w:r>
              <w:rPr>
                <w:rFonts w:hint="eastAsia"/>
                <w:b/>
                <w:bCs/>
                <w:color w:val="000000"/>
                <w:sz w:val="22"/>
                <w:lang w:val="en-US" w:eastAsia="zh-CN"/>
              </w:rPr>
              <w:t>5</w:t>
            </w:r>
            <w:r>
              <w:rPr>
                <w:rFonts w:hint="eastAsia"/>
                <w:b/>
                <w:bCs/>
                <w:color w:val="000000"/>
                <w:sz w:val="22"/>
              </w:rPr>
              <w:t>0</w:t>
            </w:r>
          </w:p>
        </w:tc>
        <w:tc>
          <w:tcPr>
            <w:tcW w:w="847" w:type="dxa"/>
            <w:tcBorders>
              <w:top w:val="nil"/>
              <w:left w:val="nil"/>
              <w:bottom w:val="single" w:color="auto" w:sz="4" w:space="0"/>
              <w:right w:val="single" w:color="auto" w:sz="4" w:space="0"/>
            </w:tcBorders>
            <w:shd w:val="clear" w:color="auto" w:fill="auto"/>
            <w:noWrap/>
            <w:vAlign w:val="center"/>
          </w:tcPr>
          <w:p>
            <w:pPr>
              <w:adjustRightInd w:val="0"/>
              <w:snapToGrid w:val="0"/>
              <w:jc w:val="center"/>
              <w:rPr>
                <w:rFonts w:hint="default" w:eastAsiaTheme="minorEastAsia"/>
                <w:b/>
                <w:bCs/>
                <w:color w:val="000000"/>
                <w:sz w:val="22"/>
                <w:lang w:val="en-US" w:eastAsia="zh-CN"/>
              </w:rPr>
            </w:pPr>
            <w:r>
              <w:rPr>
                <w:rFonts w:hint="eastAsia"/>
                <w:b/>
                <w:bCs/>
                <w:color w:val="000000"/>
                <w:sz w:val="22"/>
                <w:lang w:val="en-US" w:eastAsia="zh-CN"/>
              </w:rPr>
              <w:t>50</w:t>
            </w:r>
          </w:p>
        </w:tc>
      </w:tr>
    </w:tbl>
    <w:p>
      <w:pPr>
        <w:adjustRightInd w:val="0"/>
        <w:snapToGrid w:val="0"/>
        <w:spacing w:line="600" w:lineRule="exact"/>
        <w:ind w:firstLine="640" w:firstLineChars="200"/>
        <w:outlineLvl w:val="2"/>
        <w:rPr>
          <w:rFonts w:ascii="仿宋_GB2312" w:hAnsi="仿宋" w:eastAsia="仿宋_GB2312"/>
          <w:sz w:val="32"/>
          <w:szCs w:val="32"/>
        </w:rPr>
      </w:pPr>
      <w:r>
        <w:rPr>
          <w:rFonts w:hint="eastAsia" w:ascii="仿宋_GB2312" w:hAnsi="仿宋" w:eastAsia="仿宋_GB2312"/>
          <w:b/>
          <w:bCs/>
          <w:sz w:val="32"/>
          <w:szCs w:val="32"/>
        </w:rPr>
        <w:t>1.</w:t>
      </w:r>
      <w:r>
        <w:rPr>
          <w:rFonts w:hint="eastAsia" w:ascii="仿宋_GB2312" w:hAnsi="仿宋" w:eastAsia="仿宋_GB2312"/>
          <w:b/>
          <w:bCs/>
          <w:sz w:val="32"/>
          <w:szCs w:val="32"/>
          <w:lang w:eastAsia="zh-CN"/>
        </w:rPr>
        <w:t>政府</w:t>
      </w:r>
      <w:r>
        <w:rPr>
          <w:rFonts w:hint="eastAsia" w:ascii="仿宋_GB2312" w:hAnsi="仿宋" w:eastAsia="仿宋_GB2312"/>
          <w:b/>
          <w:bCs/>
          <w:sz w:val="32"/>
          <w:szCs w:val="32"/>
          <w:lang w:val="en-US" w:eastAsia="zh-CN"/>
        </w:rPr>
        <w:t>大</w:t>
      </w:r>
      <w:r>
        <w:rPr>
          <w:rFonts w:hint="eastAsia" w:ascii="仿宋_GB2312" w:hAnsi="仿宋" w:eastAsia="仿宋_GB2312"/>
          <w:b/>
          <w:bCs/>
          <w:sz w:val="32"/>
          <w:szCs w:val="32"/>
          <w:lang w:eastAsia="zh-CN"/>
        </w:rPr>
        <w:t>楼运行</w:t>
      </w:r>
      <w:r>
        <w:rPr>
          <w:rFonts w:hint="eastAsia" w:ascii="仿宋_GB2312" w:hAnsi="仿宋" w:eastAsia="仿宋_GB2312"/>
          <w:b/>
          <w:bCs/>
          <w:sz w:val="32"/>
          <w:szCs w:val="32"/>
          <w:lang w:val="en-US" w:eastAsia="zh-CN"/>
        </w:rPr>
        <w:t>经费</w:t>
      </w:r>
      <w:r>
        <w:rPr>
          <w:rFonts w:hint="eastAsia" w:ascii="仿宋_GB2312" w:hAnsi="仿宋" w:eastAsia="仿宋_GB2312"/>
          <w:b/>
          <w:bCs/>
          <w:sz w:val="32"/>
          <w:szCs w:val="32"/>
          <w:lang w:eastAsia="zh-CN"/>
        </w:rPr>
        <w:t>产出数量</w:t>
      </w:r>
      <w:r>
        <w:rPr>
          <w:rFonts w:hint="eastAsia" w:ascii="仿宋_GB2312" w:hAnsi="仿宋" w:eastAsia="仿宋_GB2312"/>
          <w:b/>
          <w:bCs/>
          <w:sz w:val="32"/>
          <w:szCs w:val="32"/>
        </w:rPr>
        <w:t>。</w:t>
      </w:r>
      <w:r>
        <w:rPr>
          <w:rFonts w:hint="eastAsia" w:ascii="仿宋_GB2312" w:hAnsi="仿宋" w:eastAsia="仿宋_GB2312"/>
          <w:sz w:val="32"/>
          <w:szCs w:val="32"/>
          <w:lang w:val="en-US" w:eastAsia="zh-CN"/>
        </w:rPr>
        <w:t>政府大楼运行经费资金拨付准确</w:t>
      </w:r>
      <w:r>
        <w:rPr>
          <w:rFonts w:hint="eastAsia" w:ascii="仿宋_GB2312" w:hAnsi="仿宋" w:eastAsia="仿宋_GB2312"/>
          <w:sz w:val="32"/>
          <w:szCs w:val="32"/>
        </w:rPr>
        <w:t>。</w:t>
      </w:r>
    </w:p>
    <w:p>
      <w:pPr>
        <w:adjustRightInd w:val="0"/>
        <w:snapToGrid w:val="0"/>
        <w:spacing w:line="600" w:lineRule="exact"/>
        <w:ind w:firstLine="640" w:firstLineChars="200"/>
        <w:outlineLvl w:val="2"/>
        <w:rPr>
          <w:rFonts w:hint="eastAsia" w:ascii="仿宋_GB2312" w:hAnsi="仿宋" w:eastAsia="仿宋_GB2312"/>
          <w:bCs/>
          <w:sz w:val="32"/>
          <w:szCs w:val="32"/>
          <w:lang w:eastAsia="zh-CN"/>
        </w:rPr>
      </w:pPr>
      <w:r>
        <w:rPr>
          <w:rFonts w:hint="eastAsia" w:ascii="仿宋_GB2312" w:hAnsi="仿宋" w:eastAsia="仿宋_GB2312"/>
          <w:b/>
          <w:bCs/>
          <w:sz w:val="32"/>
          <w:szCs w:val="32"/>
        </w:rPr>
        <w:t>2.</w:t>
      </w:r>
      <w:r>
        <w:rPr>
          <w:rFonts w:hint="eastAsia" w:ascii="仿宋_GB2312" w:hAnsi="仿宋" w:eastAsia="仿宋_GB2312"/>
          <w:b/>
          <w:bCs/>
          <w:sz w:val="32"/>
          <w:szCs w:val="32"/>
          <w:lang w:eastAsia="zh-CN"/>
        </w:rPr>
        <w:t>政府</w:t>
      </w:r>
      <w:r>
        <w:rPr>
          <w:rFonts w:hint="eastAsia" w:ascii="仿宋_GB2312" w:hAnsi="仿宋" w:eastAsia="仿宋_GB2312"/>
          <w:b/>
          <w:bCs/>
          <w:sz w:val="32"/>
          <w:szCs w:val="32"/>
          <w:lang w:val="en-US" w:eastAsia="zh-CN"/>
        </w:rPr>
        <w:t>大</w:t>
      </w:r>
      <w:r>
        <w:rPr>
          <w:rFonts w:hint="eastAsia" w:ascii="仿宋_GB2312" w:hAnsi="仿宋" w:eastAsia="仿宋_GB2312"/>
          <w:b/>
          <w:bCs/>
          <w:sz w:val="32"/>
          <w:szCs w:val="32"/>
          <w:lang w:eastAsia="zh-CN"/>
        </w:rPr>
        <w:t>楼运行</w:t>
      </w:r>
      <w:r>
        <w:rPr>
          <w:rFonts w:hint="eastAsia" w:ascii="仿宋_GB2312" w:hAnsi="仿宋" w:eastAsia="仿宋_GB2312"/>
          <w:b/>
          <w:bCs/>
          <w:sz w:val="32"/>
          <w:szCs w:val="32"/>
          <w:lang w:val="en-US" w:eastAsia="zh-CN"/>
        </w:rPr>
        <w:t>经费</w:t>
      </w:r>
      <w:r>
        <w:rPr>
          <w:rFonts w:hint="eastAsia" w:ascii="仿宋_GB2312" w:hAnsi="仿宋" w:eastAsia="仿宋_GB2312"/>
          <w:b/>
          <w:bCs/>
          <w:sz w:val="32"/>
          <w:szCs w:val="32"/>
          <w:lang w:eastAsia="zh-CN"/>
        </w:rPr>
        <w:t>产出</w:t>
      </w:r>
      <w:r>
        <w:rPr>
          <w:rFonts w:hint="eastAsia" w:ascii="仿宋_GB2312" w:hAnsi="仿宋" w:eastAsia="仿宋_GB2312"/>
          <w:b/>
          <w:bCs/>
          <w:sz w:val="32"/>
          <w:szCs w:val="32"/>
        </w:rPr>
        <w:t>质量。</w:t>
      </w:r>
      <w:r>
        <w:rPr>
          <w:rFonts w:hint="eastAsia" w:ascii="仿宋_GB2312" w:hAnsi="仿宋" w:eastAsia="仿宋_GB2312"/>
          <w:sz w:val="32"/>
          <w:szCs w:val="32"/>
          <w:highlight w:val="none"/>
          <w:lang w:val="en-US" w:eastAsia="zh-CN"/>
        </w:rPr>
        <w:t>机关事务服务中心</w:t>
      </w:r>
      <w:r>
        <w:rPr>
          <w:rFonts w:hint="eastAsia" w:ascii="仿宋_GB2312" w:hAnsi="仿宋" w:eastAsia="仿宋_GB2312"/>
          <w:sz w:val="32"/>
          <w:szCs w:val="32"/>
          <w:lang w:eastAsia="zh-CN"/>
        </w:rPr>
        <w:t>政府楼运行费</w:t>
      </w:r>
      <w:r>
        <w:rPr>
          <w:rFonts w:hint="eastAsia" w:ascii="仿宋_GB2312" w:hAnsi="仿宋" w:eastAsia="仿宋_GB2312"/>
          <w:sz w:val="32"/>
          <w:szCs w:val="32"/>
        </w:rPr>
        <w:t>项目</w:t>
      </w:r>
      <w:r>
        <w:rPr>
          <w:rFonts w:hint="eastAsia" w:ascii="仿宋_GB2312" w:hAnsi="仿宋" w:eastAsia="仿宋_GB2312"/>
          <w:sz w:val="32"/>
          <w:szCs w:val="32"/>
          <w:lang w:eastAsia="zh-CN"/>
        </w:rPr>
        <w:t>保障服务</w:t>
      </w:r>
      <w:r>
        <w:rPr>
          <w:rFonts w:hint="eastAsia" w:ascii="仿宋_GB2312" w:hAnsi="仿宋" w:eastAsia="仿宋_GB2312"/>
          <w:sz w:val="32"/>
          <w:szCs w:val="32"/>
        </w:rPr>
        <w:t>质量能满足</w:t>
      </w:r>
      <w:r>
        <w:rPr>
          <w:rFonts w:hint="eastAsia" w:ascii="仿宋_GB2312" w:hAnsi="仿宋" w:eastAsia="仿宋_GB2312"/>
          <w:sz w:val="32"/>
          <w:szCs w:val="32"/>
          <w:lang w:val="en-US" w:eastAsia="zh-CN"/>
        </w:rPr>
        <w:t>政府大楼</w:t>
      </w:r>
      <w:r>
        <w:rPr>
          <w:rFonts w:hint="eastAsia" w:ascii="仿宋_GB2312" w:hAnsi="仿宋" w:eastAsia="仿宋_GB2312"/>
          <w:sz w:val="32"/>
          <w:szCs w:val="32"/>
        </w:rPr>
        <w:t>大院的</w:t>
      </w:r>
      <w:r>
        <w:rPr>
          <w:rFonts w:hint="eastAsia" w:ascii="仿宋_GB2312" w:hAnsi="仿宋" w:eastAsia="仿宋_GB2312"/>
          <w:sz w:val="32"/>
          <w:szCs w:val="32"/>
          <w:lang w:eastAsia="zh-CN"/>
        </w:rPr>
        <w:t>高效运转，</w:t>
      </w:r>
      <w:r>
        <w:rPr>
          <w:rFonts w:hint="eastAsia" w:ascii="仿宋_GB2312" w:hAnsi="仿宋" w:eastAsia="仿宋_GB2312"/>
          <w:sz w:val="32"/>
          <w:szCs w:val="32"/>
          <w:lang w:val="en-US" w:eastAsia="zh-CN"/>
        </w:rPr>
        <w:t>各项服务</w:t>
      </w:r>
      <w:r>
        <w:rPr>
          <w:rFonts w:hint="eastAsia" w:ascii="仿宋_GB2312" w:hAnsi="仿宋" w:eastAsia="仿宋_GB2312"/>
          <w:sz w:val="32"/>
          <w:szCs w:val="32"/>
          <w:lang w:eastAsia="zh-CN"/>
        </w:rPr>
        <w:t>得到有效提升。</w:t>
      </w:r>
    </w:p>
    <w:p>
      <w:pPr>
        <w:adjustRightInd w:val="0"/>
        <w:snapToGrid w:val="0"/>
        <w:spacing w:line="600" w:lineRule="exact"/>
        <w:ind w:firstLine="640" w:firstLineChars="200"/>
        <w:outlineLvl w:val="2"/>
        <w:rPr>
          <w:rFonts w:ascii="仿宋_GB2312" w:hAnsi="仿宋" w:eastAsia="仿宋_GB2312"/>
          <w:sz w:val="32"/>
          <w:szCs w:val="32"/>
        </w:rPr>
      </w:pPr>
      <w:r>
        <w:rPr>
          <w:rFonts w:hint="eastAsia" w:ascii="仿宋_GB2312" w:hAnsi="仿宋" w:eastAsia="仿宋_GB2312"/>
          <w:b/>
          <w:bCs/>
          <w:sz w:val="32"/>
          <w:szCs w:val="32"/>
        </w:rPr>
        <w:t>3.</w:t>
      </w:r>
      <w:r>
        <w:rPr>
          <w:rFonts w:hint="eastAsia" w:ascii="仿宋_GB2312" w:hAnsi="仿宋" w:eastAsia="仿宋_GB2312"/>
          <w:b/>
          <w:bCs/>
          <w:sz w:val="32"/>
          <w:szCs w:val="32"/>
          <w:lang w:eastAsia="zh-CN"/>
        </w:rPr>
        <w:t>政府</w:t>
      </w:r>
      <w:r>
        <w:rPr>
          <w:rFonts w:hint="eastAsia" w:ascii="仿宋_GB2312" w:hAnsi="仿宋" w:eastAsia="仿宋_GB2312"/>
          <w:b/>
          <w:bCs/>
          <w:sz w:val="32"/>
          <w:szCs w:val="32"/>
          <w:lang w:val="en-US" w:eastAsia="zh-CN"/>
        </w:rPr>
        <w:t>大</w:t>
      </w:r>
      <w:r>
        <w:rPr>
          <w:rFonts w:hint="eastAsia" w:ascii="仿宋_GB2312" w:hAnsi="仿宋" w:eastAsia="仿宋_GB2312"/>
          <w:b/>
          <w:bCs/>
          <w:sz w:val="32"/>
          <w:szCs w:val="32"/>
          <w:lang w:eastAsia="zh-CN"/>
        </w:rPr>
        <w:t>楼运行</w:t>
      </w:r>
      <w:r>
        <w:rPr>
          <w:rFonts w:hint="eastAsia" w:ascii="仿宋_GB2312" w:hAnsi="仿宋" w:eastAsia="仿宋_GB2312"/>
          <w:b/>
          <w:bCs/>
          <w:sz w:val="32"/>
          <w:szCs w:val="32"/>
          <w:lang w:val="en-US" w:eastAsia="zh-CN"/>
        </w:rPr>
        <w:t>经费</w:t>
      </w:r>
      <w:r>
        <w:rPr>
          <w:rFonts w:hint="eastAsia" w:ascii="仿宋_GB2312" w:hAnsi="仿宋" w:eastAsia="仿宋_GB2312"/>
          <w:b/>
          <w:bCs/>
          <w:sz w:val="32"/>
          <w:szCs w:val="32"/>
        </w:rPr>
        <w:t>完成及时性。</w:t>
      </w:r>
      <w:r>
        <w:rPr>
          <w:rFonts w:hint="eastAsia" w:ascii="仿宋_GB2312" w:hAnsi="仿宋" w:eastAsia="仿宋_GB2312"/>
          <w:sz w:val="32"/>
          <w:szCs w:val="32"/>
        </w:rPr>
        <w:t>按照</w:t>
      </w:r>
      <w:r>
        <w:rPr>
          <w:rFonts w:hint="eastAsia" w:ascii="仿宋_GB2312" w:hAnsi="仿宋" w:eastAsia="仿宋_GB2312"/>
          <w:sz w:val="32"/>
          <w:szCs w:val="32"/>
          <w:lang w:eastAsia="zh-CN"/>
        </w:rPr>
        <w:t>预算安排，执行该项经费的相应支出，</w:t>
      </w:r>
      <w:r>
        <w:rPr>
          <w:rFonts w:hint="eastAsia" w:ascii="仿宋_GB2312" w:hAnsi="仿宋" w:eastAsia="仿宋_GB2312"/>
          <w:sz w:val="32"/>
          <w:szCs w:val="32"/>
        </w:rPr>
        <w:t>工作</w:t>
      </w:r>
      <w:r>
        <w:rPr>
          <w:rFonts w:hint="eastAsia" w:ascii="仿宋_GB2312" w:hAnsi="仿宋" w:eastAsia="仿宋_GB2312"/>
          <w:bCs/>
          <w:sz w:val="32"/>
          <w:szCs w:val="32"/>
        </w:rPr>
        <w:t>完成</w:t>
      </w:r>
      <w:r>
        <w:rPr>
          <w:rFonts w:hint="eastAsia" w:ascii="仿宋_GB2312" w:hAnsi="仿宋" w:eastAsia="仿宋_GB2312"/>
          <w:bCs/>
          <w:sz w:val="32"/>
          <w:szCs w:val="32"/>
          <w:lang w:eastAsia="zh-CN"/>
        </w:rPr>
        <w:t>较</w:t>
      </w:r>
      <w:r>
        <w:rPr>
          <w:rFonts w:hint="eastAsia" w:ascii="仿宋_GB2312" w:hAnsi="仿宋" w:eastAsia="仿宋_GB2312"/>
          <w:bCs/>
          <w:sz w:val="32"/>
          <w:szCs w:val="32"/>
        </w:rPr>
        <w:t>及时</w:t>
      </w:r>
      <w:r>
        <w:rPr>
          <w:rFonts w:hint="eastAsia" w:ascii="仿宋_GB2312" w:hAnsi="仿宋" w:eastAsia="仿宋_GB2312"/>
          <w:sz w:val="32"/>
          <w:szCs w:val="32"/>
        </w:rPr>
        <w:t>。</w:t>
      </w:r>
    </w:p>
    <w:p>
      <w:pPr>
        <w:spacing w:line="600" w:lineRule="exact"/>
        <w:ind w:firstLine="482"/>
        <w:outlineLvl w:val="1"/>
        <w:rPr>
          <w:rFonts w:hint="default" w:ascii="楷体" w:hAnsi="楷体" w:eastAsia="楷体" w:cs="仿宋"/>
          <w:b/>
          <w:bCs/>
          <w:sz w:val="32"/>
          <w:szCs w:val="32"/>
          <w:lang w:val="en-US" w:eastAsia="zh-CN" w:bidi="ar"/>
        </w:rPr>
      </w:pPr>
      <w:bookmarkStart w:id="24" w:name="_Toc43821003"/>
      <w:bookmarkStart w:id="25" w:name="_Toc36216450"/>
      <w:r>
        <w:rPr>
          <w:rFonts w:hint="eastAsia" w:ascii="楷体" w:hAnsi="楷体" w:eastAsia="楷体" w:cs="仿宋"/>
          <w:b/>
          <w:bCs/>
          <w:sz w:val="32"/>
          <w:szCs w:val="32"/>
          <w:lang w:val="en-US" w:eastAsia="zh-CN" w:bidi="ar"/>
        </w:rPr>
        <w:t>4.</w:t>
      </w:r>
      <w:r>
        <w:rPr>
          <w:rFonts w:hint="eastAsia" w:ascii="仿宋_GB2312" w:hAnsi="仿宋" w:eastAsia="仿宋_GB2312"/>
          <w:b/>
          <w:bCs/>
          <w:sz w:val="32"/>
          <w:szCs w:val="32"/>
          <w:lang w:eastAsia="zh-CN"/>
        </w:rPr>
        <w:t>政府</w:t>
      </w:r>
      <w:r>
        <w:rPr>
          <w:rFonts w:hint="eastAsia" w:ascii="仿宋_GB2312" w:hAnsi="仿宋" w:eastAsia="仿宋_GB2312"/>
          <w:b/>
          <w:bCs/>
          <w:sz w:val="32"/>
          <w:szCs w:val="32"/>
          <w:lang w:val="en-US" w:eastAsia="zh-CN"/>
        </w:rPr>
        <w:t>大</w:t>
      </w:r>
      <w:r>
        <w:rPr>
          <w:rFonts w:hint="eastAsia" w:ascii="仿宋_GB2312" w:hAnsi="仿宋" w:eastAsia="仿宋_GB2312"/>
          <w:b/>
          <w:bCs/>
          <w:sz w:val="32"/>
          <w:szCs w:val="32"/>
          <w:lang w:eastAsia="zh-CN"/>
        </w:rPr>
        <w:t>楼运行</w:t>
      </w:r>
      <w:r>
        <w:rPr>
          <w:rFonts w:hint="eastAsia" w:ascii="仿宋_GB2312" w:hAnsi="仿宋" w:eastAsia="仿宋_GB2312"/>
          <w:b/>
          <w:bCs/>
          <w:sz w:val="32"/>
          <w:szCs w:val="32"/>
          <w:lang w:val="en-US" w:eastAsia="zh-CN"/>
        </w:rPr>
        <w:t>经费</w:t>
      </w:r>
      <w:r>
        <w:rPr>
          <w:rFonts w:hint="eastAsia" w:ascii="仿宋_GB2312" w:hAnsi="仿宋" w:eastAsia="仿宋_GB2312"/>
          <w:b/>
          <w:bCs/>
          <w:sz w:val="32"/>
          <w:szCs w:val="32"/>
          <w:lang w:eastAsia="zh-CN"/>
        </w:rPr>
        <w:t>产出成本</w:t>
      </w:r>
      <w:r>
        <w:rPr>
          <w:rFonts w:hint="eastAsia" w:ascii="仿宋_GB2312" w:hAnsi="仿宋" w:eastAsia="仿宋_GB2312"/>
          <w:b/>
          <w:bCs/>
          <w:sz w:val="32"/>
          <w:szCs w:val="32"/>
        </w:rPr>
        <w:t>。</w:t>
      </w:r>
      <w:r>
        <w:rPr>
          <w:rFonts w:hint="eastAsia" w:ascii="仿宋_GB2312" w:hAnsi="仿宋" w:eastAsia="仿宋_GB2312"/>
          <w:sz w:val="32"/>
          <w:szCs w:val="32"/>
        </w:rPr>
        <w:t>按照</w:t>
      </w:r>
      <w:r>
        <w:rPr>
          <w:rFonts w:hint="eastAsia" w:ascii="仿宋_GB2312" w:hAnsi="仿宋" w:eastAsia="仿宋_GB2312"/>
          <w:sz w:val="32"/>
          <w:szCs w:val="32"/>
          <w:lang w:eastAsia="zh-CN"/>
        </w:rPr>
        <w:t>预算安排，执行该项经费的产出成本节约率较高。</w:t>
      </w:r>
    </w:p>
    <w:p>
      <w:pPr>
        <w:spacing w:line="600" w:lineRule="exact"/>
        <w:ind w:firstLine="482"/>
        <w:outlineLvl w:val="1"/>
        <w:rPr>
          <w:rFonts w:ascii="楷体" w:hAnsi="楷体" w:eastAsia="楷体" w:cs="仿宋"/>
          <w:b/>
          <w:bCs/>
          <w:sz w:val="32"/>
          <w:szCs w:val="32"/>
          <w:lang w:bidi="ar"/>
        </w:rPr>
      </w:pPr>
      <w:r>
        <w:rPr>
          <w:rFonts w:hint="eastAsia" w:ascii="楷体" w:hAnsi="楷体" w:eastAsia="楷体" w:cs="仿宋"/>
          <w:b/>
          <w:bCs/>
          <w:sz w:val="32"/>
          <w:szCs w:val="32"/>
          <w:lang w:bidi="ar"/>
        </w:rPr>
        <w:t>（</w:t>
      </w:r>
      <w:r>
        <w:rPr>
          <w:rFonts w:hint="eastAsia" w:ascii="楷体" w:hAnsi="楷体" w:eastAsia="楷体" w:cs="仿宋"/>
          <w:b/>
          <w:bCs/>
          <w:sz w:val="32"/>
          <w:szCs w:val="32"/>
          <w:lang w:val="en-US" w:eastAsia="zh-CN" w:bidi="ar"/>
        </w:rPr>
        <w:t>二</w:t>
      </w:r>
      <w:r>
        <w:rPr>
          <w:rFonts w:hint="eastAsia" w:ascii="楷体" w:hAnsi="楷体" w:eastAsia="楷体" w:cs="仿宋"/>
          <w:b/>
          <w:bCs/>
          <w:sz w:val="32"/>
          <w:szCs w:val="32"/>
          <w:lang w:bidi="ar"/>
        </w:rPr>
        <w:t>）项目效益情况</w:t>
      </w:r>
      <w:bookmarkEnd w:id="24"/>
      <w:bookmarkEnd w:id="25"/>
    </w:p>
    <w:p>
      <w:pPr>
        <w:pStyle w:val="5"/>
        <w:adjustRightInd w:val="0"/>
        <w:snapToGrid w:val="0"/>
        <w:spacing w:before="0" w:after="0" w:line="600" w:lineRule="exact"/>
        <w:ind w:firstLine="640" w:firstLineChars="200"/>
        <w:jc w:val="left"/>
        <w:outlineLvl w:val="9"/>
        <w:rPr>
          <w:rFonts w:ascii="仿宋_GB2312" w:hAnsi="仿宋" w:eastAsia="仿宋_GB2312"/>
          <w:b w:val="0"/>
          <w:kern w:val="0"/>
        </w:rPr>
      </w:pPr>
      <w:r>
        <w:rPr>
          <w:rFonts w:hint="eastAsia" w:ascii="仿宋_GB2312" w:hAnsi="仿宋" w:eastAsia="仿宋_GB2312"/>
          <w:b w:val="0"/>
          <w:lang w:eastAsia="zh-CN"/>
        </w:rPr>
        <w:t>政府</w:t>
      </w:r>
      <w:r>
        <w:rPr>
          <w:rFonts w:hint="eastAsia" w:ascii="仿宋_GB2312" w:hAnsi="仿宋" w:eastAsia="仿宋_GB2312"/>
          <w:b w:val="0"/>
          <w:lang w:val="en-US" w:eastAsia="zh-CN"/>
        </w:rPr>
        <w:t>大</w:t>
      </w:r>
      <w:r>
        <w:rPr>
          <w:rFonts w:hint="eastAsia" w:ascii="仿宋_GB2312" w:hAnsi="仿宋" w:eastAsia="仿宋_GB2312"/>
          <w:b w:val="0"/>
          <w:lang w:eastAsia="zh-CN"/>
        </w:rPr>
        <w:t>楼运行</w:t>
      </w:r>
      <w:r>
        <w:rPr>
          <w:rFonts w:hint="eastAsia" w:ascii="仿宋_GB2312" w:hAnsi="仿宋" w:eastAsia="仿宋_GB2312"/>
          <w:b w:val="0"/>
          <w:lang w:val="en-US" w:eastAsia="zh-CN"/>
        </w:rPr>
        <w:t>经费</w:t>
      </w:r>
      <w:r>
        <w:rPr>
          <w:rFonts w:hint="eastAsia" w:ascii="仿宋_GB2312" w:hAnsi="仿宋" w:eastAsia="仿宋_GB2312"/>
          <w:b w:val="0"/>
          <w:lang w:eastAsia="zh-CN"/>
        </w:rPr>
        <w:t>的使用</w:t>
      </w:r>
      <w:r>
        <w:rPr>
          <w:rFonts w:hint="eastAsia" w:ascii="仿宋_GB2312" w:hAnsi="仿宋" w:eastAsia="仿宋_GB2312"/>
          <w:b w:val="0"/>
        </w:rPr>
        <w:t>，</w:t>
      </w:r>
      <w:r>
        <w:rPr>
          <w:rFonts w:hint="eastAsia" w:ascii="仿宋_GB2312" w:hAnsi="仿宋" w:eastAsia="仿宋_GB2312"/>
          <w:b w:val="0"/>
          <w:lang w:eastAsia="zh-CN"/>
        </w:rPr>
        <w:t>社会效益很高</w:t>
      </w:r>
      <w:r>
        <w:rPr>
          <w:rFonts w:hint="eastAsia" w:ascii="仿宋_GB2312" w:hAnsi="仿宋" w:eastAsia="仿宋_GB2312"/>
          <w:b w:val="0"/>
        </w:rPr>
        <w:t>。</w:t>
      </w:r>
      <w:r>
        <w:rPr>
          <w:rFonts w:hint="eastAsia" w:ascii="仿宋_GB2312" w:hAnsi="仿宋" w:eastAsia="仿宋_GB2312"/>
          <w:b w:val="0"/>
          <w:kern w:val="0"/>
        </w:rPr>
        <w:t>指标分值</w:t>
      </w:r>
      <w:r>
        <w:rPr>
          <w:rFonts w:hint="eastAsia" w:ascii="仿宋_GB2312" w:hAnsi="仿宋" w:eastAsia="仿宋_GB2312"/>
          <w:b w:val="0"/>
          <w:bCs w:val="0"/>
          <w:kern w:val="0"/>
          <w:lang w:val="en-US" w:eastAsia="zh-CN"/>
        </w:rPr>
        <w:t>30</w:t>
      </w:r>
      <w:r>
        <w:rPr>
          <w:rFonts w:hint="eastAsia" w:ascii="仿宋_GB2312" w:hAnsi="仿宋" w:eastAsia="仿宋_GB2312"/>
          <w:b w:val="0"/>
          <w:kern w:val="0"/>
        </w:rPr>
        <w:t>分，下设</w:t>
      </w:r>
      <w:r>
        <w:rPr>
          <w:rFonts w:hint="eastAsia" w:ascii="仿宋_GB2312" w:hAnsi="仿宋" w:eastAsia="仿宋_GB2312"/>
          <w:b w:val="0"/>
          <w:kern w:val="0"/>
          <w:lang w:val="en-US" w:eastAsia="zh-CN"/>
        </w:rPr>
        <w:t>1</w:t>
      </w:r>
      <w:r>
        <w:rPr>
          <w:rFonts w:hint="eastAsia" w:ascii="仿宋_GB2312" w:hAnsi="仿宋" w:eastAsia="仿宋_GB2312"/>
          <w:b w:val="0"/>
          <w:kern w:val="0"/>
        </w:rPr>
        <w:t>个</w:t>
      </w:r>
      <w:r>
        <w:rPr>
          <w:rFonts w:hint="eastAsia" w:ascii="仿宋_GB2312" w:hAnsi="仿宋" w:eastAsia="仿宋_GB2312"/>
          <w:b w:val="0"/>
          <w:bCs w:val="0"/>
          <w:kern w:val="0"/>
        </w:rPr>
        <w:t>二</w:t>
      </w:r>
      <w:r>
        <w:rPr>
          <w:rFonts w:hint="eastAsia" w:ascii="仿宋_GB2312" w:hAnsi="仿宋" w:eastAsia="仿宋_GB2312"/>
          <w:b w:val="0"/>
          <w:kern w:val="0"/>
        </w:rPr>
        <w:t>级指标和</w:t>
      </w:r>
      <w:r>
        <w:rPr>
          <w:rFonts w:hint="eastAsia" w:ascii="仿宋_GB2312" w:hAnsi="仿宋" w:eastAsia="仿宋_GB2312"/>
          <w:b w:val="0"/>
          <w:bCs w:val="0"/>
          <w:kern w:val="0"/>
          <w:lang w:val="en-US" w:eastAsia="zh-CN"/>
        </w:rPr>
        <w:t>1</w:t>
      </w:r>
      <w:r>
        <w:rPr>
          <w:rFonts w:hint="eastAsia" w:ascii="仿宋_GB2312" w:hAnsi="仿宋" w:eastAsia="仿宋_GB2312"/>
          <w:b w:val="0"/>
          <w:kern w:val="0"/>
        </w:rPr>
        <w:t>个三级指标，评价得分</w:t>
      </w:r>
      <w:r>
        <w:rPr>
          <w:rFonts w:hint="eastAsia" w:ascii="仿宋_GB2312" w:hAnsi="仿宋" w:eastAsia="仿宋_GB2312"/>
          <w:b w:val="0"/>
          <w:bCs w:val="0"/>
          <w:kern w:val="0"/>
          <w:lang w:val="en-US" w:eastAsia="zh-CN"/>
        </w:rPr>
        <w:t>30</w:t>
      </w:r>
      <w:r>
        <w:rPr>
          <w:rFonts w:hint="eastAsia" w:ascii="仿宋_GB2312" w:hAnsi="仿宋" w:eastAsia="仿宋_GB2312"/>
          <w:b w:val="0"/>
          <w:kern w:val="0"/>
        </w:rPr>
        <w:t>分。</w:t>
      </w:r>
    </w:p>
    <w:p>
      <w:pPr>
        <w:pStyle w:val="10"/>
        <w:tabs>
          <w:tab w:val="left" w:pos="0"/>
          <w:tab w:val="left" w:pos="1276"/>
          <w:tab w:val="left" w:pos="1418"/>
        </w:tabs>
        <w:adjustRightInd w:val="0"/>
        <w:snapToGrid w:val="0"/>
        <w:spacing w:line="360" w:lineRule="auto"/>
        <w:ind w:left="0" w:firstLine="0" w:firstLineChars="0"/>
        <w:jc w:val="center"/>
        <w:rPr>
          <w:lang w:bidi="ar"/>
        </w:rPr>
      </w:pPr>
      <w:r>
        <w:rPr>
          <w:rFonts w:hint="eastAsia" w:ascii="黑体" w:hAnsi="黑体" w:eastAsia="黑体"/>
          <w:sz w:val="24"/>
          <w:szCs w:val="24"/>
        </w:rPr>
        <w:t xml:space="preserve"> 项目效益指标得分情况</w:t>
      </w:r>
    </w:p>
    <w:tbl>
      <w:tblPr>
        <w:tblStyle w:val="6"/>
        <w:tblW w:w="47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692"/>
        <w:gridCol w:w="3894"/>
        <w:gridCol w:w="709"/>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698" w:type="pct"/>
            <w:shd w:val="clear" w:color="auto" w:fill="auto"/>
            <w:noWrap/>
            <w:vAlign w:val="center"/>
          </w:tcPr>
          <w:p>
            <w:pPr>
              <w:adjustRightInd w:val="0"/>
              <w:snapToGrid w:val="0"/>
              <w:jc w:val="center"/>
              <w:rPr>
                <w:b/>
                <w:bCs/>
                <w:color w:val="000000"/>
                <w:szCs w:val="21"/>
              </w:rPr>
            </w:pPr>
            <w:r>
              <w:rPr>
                <w:rFonts w:hint="eastAsia"/>
                <w:b/>
                <w:bCs/>
                <w:color w:val="000000"/>
                <w:szCs w:val="21"/>
              </w:rPr>
              <w:t>一级指标</w:t>
            </w:r>
          </w:p>
        </w:tc>
        <w:tc>
          <w:tcPr>
            <w:tcW w:w="1039" w:type="pct"/>
            <w:shd w:val="clear" w:color="auto" w:fill="auto"/>
            <w:noWrap/>
            <w:vAlign w:val="center"/>
          </w:tcPr>
          <w:p>
            <w:pPr>
              <w:adjustRightInd w:val="0"/>
              <w:snapToGrid w:val="0"/>
              <w:jc w:val="center"/>
              <w:rPr>
                <w:b/>
                <w:bCs/>
                <w:color w:val="000000"/>
                <w:szCs w:val="21"/>
              </w:rPr>
            </w:pPr>
            <w:r>
              <w:rPr>
                <w:rFonts w:hint="eastAsia"/>
                <w:b/>
                <w:bCs/>
                <w:color w:val="000000"/>
                <w:szCs w:val="21"/>
              </w:rPr>
              <w:t>二级指标</w:t>
            </w:r>
          </w:p>
        </w:tc>
        <w:tc>
          <w:tcPr>
            <w:tcW w:w="2391" w:type="pct"/>
            <w:shd w:val="clear" w:color="auto" w:fill="auto"/>
            <w:noWrap/>
            <w:vAlign w:val="center"/>
          </w:tcPr>
          <w:p>
            <w:pPr>
              <w:adjustRightInd w:val="0"/>
              <w:snapToGrid w:val="0"/>
              <w:jc w:val="center"/>
              <w:rPr>
                <w:b/>
                <w:bCs/>
                <w:color w:val="000000"/>
                <w:szCs w:val="21"/>
              </w:rPr>
            </w:pPr>
            <w:r>
              <w:rPr>
                <w:rFonts w:hint="eastAsia"/>
                <w:b/>
                <w:bCs/>
                <w:color w:val="000000"/>
                <w:szCs w:val="21"/>
              </w:rPr>
              <w:t>三级指标</w:t>
            </w:r>
          </w:p>
        </w:tc>
        <w:tc>
          <w:tcPr>
            <w:tcW w:w="435" w:type="pct"/>
            <w:shd w:val="clear" w:color="auto" w:fill="auto"/>
            <w:noWrap/>
            <w:vAlign w:val="center"/>
          </w:tcPr>
          <w:p>
            <w:pPr>
              <w:adjustRightInd w:val="0"/>
              <w:snapToGrid w:val="0"/>
              <w:jc w:val="center"/>
              <w:rPr>
                <w:b/>
                <w:bCs/>
                <w:color w:val="000000"/>
                <w:szCs w:val="21"/>
              </w:rPr>
            </w:pPr>
            <w:r>
              <w:rPr>
                <w:rFonts w:hint="eastAsia"/>
                <w:b/>
                <w:bCs/>
                <w:color w:val="000000"/>
                <w:szCs w:val="21"/>
              </w:rPr>
              <w:t>分值</w:t>
            </w:r>
          </w:p>
        </w:tc>
        <w:tc>
          <w:tcPr>
            <w:tcW w:w="435" w:type="pct"/>
            <w:shd w:val="clear" w:color="auto" w:fill="auto"/>
            <w:noWrap/>
            <w:vAlign w:val="center"/>
          </w:tcPr>
          <w:p>
            <w:pPr>
              <w:adjustRightInd w:val="0"/>
              <w:snapToGrid w:val="0"/>
              <w:jc w:val="center"/>
              <w:rPr>
                <w:b/>
                <w:bCs/>
                <w:color w:val="000000"/>
                <w:szCs w:val="21"/>
              </w:rPr>
            </w:pPr>
            <w:r>
              <w:rPr>
                <w:rFonts w:hint="eastAsia"/>
                <w:b/>
                <w:bCs/>
                <w:color w:val="000000"/>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698" w:type="pct"/>
            <w:shd w:val="clear" w:color="auto" w:fill="auto"/>
            <w:vAlign w:val="center"/>
          </w:tcPr>
          <w:p>
            <w:pPr>
              <w:jc w:val="center"/>
              <w:rPr>
                <w:rFonts w:hint="eastAsia" w:eastAsiaTheme="minorEastAsia"/>
                <w:szCs w:val="21"/>
                <w:lang w:eastAsia="zh-CN"/>
              </w:rPr>
            </w:pPr>
            <w:r>
              <w:rPr>
                <w:rFonts w:hint="eastAsia"/>
                <w:szCs w:val="21"/>
              </w:rPr>
              <w:t>效益</w:t>
            </w:r>
          </w:p>
          <w:p>
            <w:pPr>
              <w:jc w:val="center"/>
              <w:rPr>
                <w:rFonts w:hint="eastAsia"/>
                <w:szCs w:val="21"/>
              </w:rPr>
            </w:pPr>
            <w:r>
              <w:rPr>
                <w:rFonts w:hint="eastAsia"/>
                <w:szCs w:val="21"/>
              </w:rPr>
              <w:t>(</w:t>
            </w:r>
            <w:r>
              <w:rPr>
                <w:rFonts w:hint="eastAsia"/>
                <w:szCs w:val="21"/>
                <w:lang w:val="en-US" w:eastAsia="zh-CN"/>
              </w:rPr>
              <w:t>10</w:t>
            </w:r>
            <w:r>
              <w:rPr>
                <w:rFonts w:hint="eastAsia"/>
                <w:szCs w:val="21"/>
              </w:rPr>
              <w:t>分）</w:t>
            </w:r>
          </w:p>
        </w:tc>
        <w:tc>
          <w:tcPr>
            <w:tcW w:w="1039" w:type="pct"/>
            <w:shd w:val="clear" w:color="auto" w:fill="auto"/>
            <w:vAlign w:val="center"/>
          </w:tcPr>
          <w:p>
            <w:pPr>
              <w:jc w:val="center"/>
              <w:rPr>
                <w:rFonts w:hint="eastAsia"/>
                <w:szCs w:val="21"/>
              </w:rPr>
            </w:pPr>
            <w:r>
              <w:rPr>
                <w:rFonts w:hint="eastAsia"/>
                <w:szCs w:val="21"/>
              </w:rPr>
              <w:t>社会效益</w:t>
            </w:r>
          </w:p>
        </w:tc>
        <w:tc>
          <w:tcPr>
            <w:tcW w:w="2391" w:type="pct"/>
            <w:shd w:val="clear" w:color="auto" w:fill="auto"/>
            <w:noWrap/>
            <w:vAlign w:val="center"/>
          </w:tcPr>
          <w:p>
            <w:pPr>
              <w:jc w:val="center"/>
              <w:rPr>
                <w:rFonts w:hint="default" w:eastAsiaTheme="minorEastAsia"/>
                <w:szCs w:val="21"/>
                <w:lang w:val="en-US" w:eastAsia="zh-CN"/>
              </w:rPr>
            </w:pPr>
            <w:r>
              <w:rPr>
                <w:rFonts w:hint="eastAsia"/>
                <w:szCs w:val="21"/>
                <w:lang w:val="en-US" w:eastAsia="zh-CN"/>
              </w:rPr>
              <w:t>政府大楼运行经费保障范围</w:t>
            </w:r>
          </w:p>
        </w:tc>
        <w:tc>
          <w:tcPr>
            <w:tcW w:w="435" w:type="pct"/>
            <w:shd w:val="clear" w:color="auto" w:fill="auto"/>
            <w:noWrap/>
            <w:vAlign w:val="center"/>
          </w:tcPr>
          <w:p>
            <w:pPr>
              <w:jc w:val="center"/>
              <w:rPr>
                <w:rFonts w:hint="default" w:eastAsiaTheme="minorEastAsia"/>
                <w:szCs w:val="21"/>
                <w:lang w:val="en-US" w:eastAsia="zh-CN"/>
              </w:rPr>
            </w:pPr>
            <w:r>
              <w:rPr>
                <w:rFonts w:hint="eastAsia"/>
                <w:szCs w:val="21"/>
                <w:lang w:val="en-US" w:eastAsia="zh-CN"/>
              </w:rPr>
              <w:t>30</w:t>
            </w:r>
          </w:p>
        </w:tc>
        <w:tc>
          <w:tcPr>
            <w:tcW w:w="435" w:type="pct"/>
            <w:shd w:val="clear" w:color="auto" w:fill="auto"/>
            <w:noWrap/>
            <w:vAlign w:val="center"/>
          </w:tcPr>
          <w:p>
            <w:pPr>
              <w:jc w:val="center"/>
              <w:rPr>
                <w:rFonts w:hint="default" w:eastAsiaTheme="minorEastAsia"/>
                <w:szCs w:val="21"/>
                <w:lang w:val="en-US" w:eastAsia="zh-CN"/>
              </w:rPr>
            </w:pPr>
            <w:r>
              <w:rPr>
                <w:rFonts w:hint="eastAsia"/>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129" w:type="pct"/>
            <w:gridSpan w:val="3"/>
            <w:shd w:val="clear" w:color="auto" w:fill="auto"/>
            <w:noWrap/>
            <w:vAlign w:val="center"/>
          </w:tcPr>
          <w:p>
            <w:pPr>
              <w:jc w:val="center"/>
              <w:rPr>
                <w:rFonts w:hint="eastAsia"/>
                <w:szCs w:val="21"/>
              </w:rPr>
            </w:pPr>
            <w:r>
              <w:rPr>
                <w:rFonts w:hint="eastAsia"/>
                <w:szCs w:val="21"/>
              </w:rPr>
              <w:t>合  计</w:t>
            </w:r>
          </w:p>
        </w:tc>
        <w:tc>
          <w:tcPr>
            <w:tcW w:w="435" w:type="pct"/>
            <w:shd w:val="clear" w:color="auto" w:fill="auto"/>
            <w:noWrap/>
            <w:vAlign w:val="center"/>
          </w:tcPr>
          <w:p>
            <w:pPr>
              <w:adjustRightInd w:val="0"/>
              <w:snapToGrid w:val="0"/>
              <w:jc w:val="center"/>
              <w:rPr>
                <w:rFonts w:hint="default" w:eastAsiaTheme="minorEastAsia"/>
                <w:b/>
                <w:bCs/>
                <w:color w:val="000000"/>
                <w:szCs w:val="21"/>
                <w:lang w:val="en-US" w:eastAsia="zh-CN"/>
              </w:rPr>
            </w:pPr>
            <w:r>
              <w:rPr>
                <w:rFonts w:hint="eastAsia"/>
                <w:b/>
                <w:bCs/>
                <w:color w:val="000000"/>
                <w:szCs w:val="21"/>
                <w:lang w:val="en-US" w:eastAsia="zh-CN"/>
              </w:rPr>
              <w:t>30</w:t>
            </w:r>
          </w:p>
        </w:tc>
        <w:tc>
          <w:tcPr>
            <w:tcW w:w="435" w:type="pct"/>
            <w:shd w:val="clear" w:color="auto" w:fill="auto"/>
            <w:noWrap/>
            <w:vAlign w:val="center"/>
          </w:tcPr>
          <w:p>
            <w:pPr>
              <w:adjustRightInd w:val="0"/>
              <w:snapToGrid w:val="0"/>
              <w:jc w:val="center"/>
              <w:rPr>
                <w:rFonts w:hint="default" w:eastAsiaTheme="minorEastAsia"/>
                <w:b/>
                <w:bCs/>
                <w:color w:val="000000"/>
                <w:szCs w:val="21"/>
                <w:lang w:val="en-US" w:eastAsia="zh-CN"/>
              </w:rPr>
            </w:pPr>
            <w:r>
              <w:rPr>
                <w:rFonts w:hint="eastAsia"/>
                <w:b/>
                <w:bCs/>
                <w:color w:val="000000"/>
                <w:szCs w:val="21"/>
                <w:lang w:val="en-US" w:eastAsia="zh-CN"/>
              </w:rPr>
              <w:t>30</w:t>
            </w:r>
          </w:p>
        </w:tc>
      </w:tr>
    </w:tbl>
    <w:p>
      <w:pPr>
        <w:numPr>
          <w:ilvl w:val="0"/>
          <w:numId w:val="2"/>
        </w:numPr>
        <w:adjustRightInd w:val="0"/>
        <w:snapToGrid w:val="0"/>
        <w:spacing w:line="600" w:lineRule="exact"/>
        <w:ind w:firstLine="640" w:firstLineChars="200"/>
        <w:outlineLvl w:val="2"/>
        <w:rPr>
          <w:rFonts w:hint="eastAsia" w:ascii="仿宋_GB2312" w:hAnsi="仿宋_GB2312" w:eastAsia="仿宋_GB2312" w:cs="仿宋_GB2312"/>
          <w:color w:val="000000"/>
          <w:kern w:val="0"/>
          <w:sz w:val="32"/>
          <w:szCs w:val="32"/>
          <w:lang w:val="en-US" w:eastAsia="zh-CN" w:bidi="ar"/>
        </w:rPr>
      </w:pPr>
      <w:r>
        <w:rPr>
          <w:rFonts w:hint="eastAsia" w:ascii="仿宋_GB2312" w:hAnsi="仿宋" w:eastAsia="仿宋_GB2312"/>
          <w:b/>
          <w:bCs w:val="0"/>
          <w:sz w:val="32"/>
          <w:szCs w:val="32"/>
          <w:lang w:eastAsia="zh-CN"/>
        </w:rPr>
        <w:t>政府</w:t>
      </w:r>
      <w:r>
        <w:rPr>
          <w:rFonts w:hint="eastAsia" w:ascii="仿宋_GB2312" w:hAnsi="仿宋" w:eastAsia="仿宋_GB2312"/>
          <w:b/>
          <w:bCs w:val="0"/>
          <w:sz w:val="32"/>
          <w:szCs w:val="32"/>
          <w:lang w:val="en-US" w:eastAsia="zh-CN"/>
        </w:rPr>
        <w:t>大</w:t>
      </w:r>
      <w:r>
        <w:rPr>
          <w:rFonts w:hint="eastAsia" w:ascii="仿宋_GB2312" w:hAnsi="仿宋" w:eastAsia="仿宋_GB2312"/>
          <w:b/>
          <w:bCs w:val="0"/>
          <w:sz w:val="32"/>
          <w:szCs w:val="32"/>
          <w:lang w:eastAsia="zh-CN"/>
        </w:rPr>
        <w:t>楼运行</w:t>
      </w:r>
      <w:r>
        <w:rPr>
          <w:rFonts w:hint="eastAsia" w:ascii="仿宋_GB2312" w:hAnsi="仿宋" w:eastAsia="仿宋_GB2312"/>
          <w:b/>
          <w:bCs w:val="0"/>
          <w:sz w:val="32"/>
          <w:szCs w:val="32"/>
          <w:lang w:val="en-US" w:eastAsia="zh-CN"/>
        </w:rPr>
        <w:t>经费</w:t>
      </w:r>
      <w:r>
        <w:rPr>
          <w:rFonts w:hint="eastAsia" w:ascii="仿宋_GB2312" w:hAnsi="仿宋" w:eastAsia="仿宋_GB2312"/>
          <w:b/>
          <w:bCs w:val="0"/>
          <w:sz w:val="32"/>
          <w:szCs w:val="32"/>
        </w:rPr>
        <w:t>带来的社会效益程度。</w:t>
      </w:r>
      <w:r>
        <w:rPr>
          <w:rFonts w:hint="eastAsia" w:ascii="仿宋_GB2312" w:hAnsi="仿宋_GB2312" w:eastAsia="仿宋_GB2312" w:cs="仿宋_GB2312"/>
          <w:color w:val="000000"/>
          <w:kern w:val="0"/>
          <w:sz w:val="32"/>
          <w:szCs w:val="32"/>
          <w:lang w:val="en-US" w:eastAsia="zh-CN" w:bidi="ar"/>
        </w:rPr>
        <w:t>机关事务服务中心保障了整个大楼安保卫生问题，使得大楼及院内环境整洁舒适，有利于政务工作的进行，保障了大楼的安全。尤其在疫情期间，每日消杀工作也维护了工作人员和出入政府大楼的人员健康。同时对大楼及时维修维护，水电暖的按时供应，保障工作顺利进行。我中心还承担了县节能工作，定期举办节能宣传活动，呼吁全县参与到节能工作中来，提升人们环保节能意识，带来了较大的社会效益。</w:t>
      </w:r>
    </w:p>
    <w:p>
      <w:pPr>
        <w:numPr>
          <w:ilvl w:val="0"/>
          <w:numId w:val="3"/>
        </w:numPr>
        <w:spacing w:line="600" w:lineRule="exact"/>
        <w:ind w:firstLine="482"/>
        <w:outlineLvl w:val="1"/>
        <w:rPr>
          <w:rFonts w:hint="eastAsia" w:ascii="楷体" w:hAnsi="楷体" w:eastAsia="楷体" w:cs="仿宋"/>
          <w:b/>
          <w:bCs/>
          <w:sz w:val="32"/>
          <w:szCs w:val="32"/>
          <w:lang w:val="en-US" w:eastAsia="zh-CN" w:bidi="ar"/>
        </w:rPr>
      </w:pPr>
      <w:r>
        <w:rPr>
          <w:rFonts w:hint="eastAsia" w:ascii="楷体" w:hAnsi="楷体" w:eastAsia="楷体" w:cs="仿宋"/>
          <w:b/>
          <w:bCs/>
          <w:sz w:val="32"/>
          <w:szCs w:val="32"/>
          <w:lang w:val="en-US" w:eastAsia="zh-CN" w:bidi="ar"/>
        </w:rPr>
        <w:t>满意度情况</w:t>
      </w:r>
    </w:p>
    <w:p>
      <w:pPr>
        <w:numPr>
          <w:numId w:val="0"/>
        </w:numPr>
        <w:spacing w:line="600" w:lineRule="exact"/>
        <w:ind w:firstLine="640" w:firstLineChars="200"/>
        <w:outlineLvl w:val="1"/>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指标分值10分，下设1个二级指标和1个三级指标，评价得分10分。</w:t>
      </w:r>
    </w:p>
    <w:p>
      <w:pPr>
        <w:numPr>
          <w:numId w:val="0"/>
        </w:numPr>
        <w:spacing w:line="600" w:lineRule="exact"/>
        <w:ind w:firstLine="640" w:firstLineChars="200"/>
        <w:outlineLvl w:val="1"/>
        <w:rPr>
          <w:rFonts w:ascii="仿宋_GB2312" w:hAnsi="仿宋" w:eastAsia="仿宋_GB2312"/>
          <w:bCs/>
          <w:sz w:val="32"/>
          <w:szCs w:val="32"/>
        </w:rPr>
      </w:pPr>
      <w:r>
        <w:rPr>
          <w:rFonts w:hint="eastAsia" w:ascii="仿宋_GB2312" w:hAnsi="仿宋_GB2312" w:eastAsia="仿宋_GB2312" w:cs="仿宋_GB2312"/>
          <w:color w:val="000000"/>
          <w:kern w:val="0"/>
          <w:sz w:val="32"/>
          <w:szCs w:val="32"/>
          <w:lang w:val="en-US" w:eastAsia="zh-CN" w:bidi="ar"/>
        </w:rPr>
        <w:t>通过问询机关工作人员及其他对象，满意度达到100%， 机关工作人员对政府大楼运行经费的支出非常满意，该项目各项支出保障了工作顺利，提升了工作效率，食堂支出保障了就餐安全卫生，提升了全县的节能管理，公车管理，办公用房管理</w:t>
      </w:r>
      <w:r>
        <w:rPr>
          <w:rFonts w:ascii="仿宋_GB2312" w:hAnsi="仿宋" w:eastAsia="仿宋_GB2312"/>
          <w:bCs/>
          <w:sz w:val="32"/>
          <w:szCs w:val="32"/>
        </w:rPr>
        <w:t>。</w:t>
      </w:r>
    </w:p>
    <w:p>
      <w:pPr>
        <w:adjustRightInd w:val="0"/>
        <w:snapToGrid w:val="0"/>
        <w:spacing w:line="600" w:lineRule="exact"/>
        <w:ind w:firstLine="640" w:firstLineChars="200"/>
        <w:outlineLvl w:val="2"/>
        <w:rPr>
          <w:rFonts w:hint="eastAsia" w:ascii="仿宋_GB2312" w:hAnsi="仿宋" w:eastAsia="仿宋_GB2312"/>
          <w:bCs/>
          <w:sz w:val="32"/>
          <w:szCs w:val="32"/>
        </w:rPr>
      </w:pPr>
      <w:r>
        <w:rPr>
          <w:rFonts w:hint="eastAsia" w:ascii="仿宋_GB2312" w:hAnsi="仿宋_GB2312" w:eastAsia="仿宋_GB2312" w:cs="仿宋_GB2312"/>
          <w:color w:val="000000"/>
          <w:kern w:val="0"/>
          <w:sz w:val="32"/>
          <w:szCs w:val="32"/>
          <w:lang w:val="en-US" w:eastAsia="zh-CN" w:bidi="ar"/>
        </w:rPr>
        <w:t>支付款项及时准确，保障了与供应商稳定互利的合作关系，满意度较高</w:t>
      </w:r>
      <w:r>
        <w:rPr>
          <w:rFonts w:hint="eastAsia" w:ascii="仿宋_GB2312" w:hAnsi="仿宋" w:eastAsia="仿宋_GB2312"/>
          <w:bCs/>
          <w:sz w:val="32"/>
          <w:szCs w:val="32"/>
        </w:rPr>
        <w:t>。</w:t>
      </w:r>
    </w:p>
    <w:p>
      <w:pPr>
        <w:numPr>
          <w:ilvl w:val="0"/>
          <w:numId w:val="3"/>
        </w:numPr>
        <w:spacing w:line="600" w:lineRule="exact"/>
        <w:ind w:left="0" w:leftChars="0" w:firstLine="482" w:firstLineChars="0"/>
        <w:outlineLvl w:val="1"/>
        <w:rPr>
          <w:rFonts w:hint="eastAsia" w:ascii="楷体" w:hAnsi="楷体" w:eastAsia="楷体" w:cs="仿宋"/>
          <w:b/>
          <w:bCs/>
          <w:sz w:val="32"/>
          <w:szCs w:val="32"/>
          <w:lang w:val="en-US" w:eastAsia="zh-CN" w:bidi="ar"/>
        </w:rPr>
      </w:pPr>
      <w:r>
        <w:rPr>
          <w:rFonts w:hint="eastAsia" w:ascii="楷体" w:hAnsi="楷体" w:eastAsia="楷体" w:cs="仿宋"/>
          <w:b/>
          <w:bCs/>
          <w:sz w:val="32"/>
          <w:szCs w:val="32"/>
          <w:lang w:val="en-US" w:eastAsia="zh-CN" w:bidi="ar"/>
        </w:rPr>
        <w:t>预算执行率</w:t>
      </w:r>
    </w:p>
    <w:p>
      <w:pPr>
        <w:adjustRightInd w:val="0"/>
        <w:snapToGrid w:val="0"/>
        <w:spacing w:line="600" w:lineRule="exact"/>
        <w:ind w:firstLine="640" w:firstLineChars="200"/>
        <w:outlineLvl w:val="2"/>
        <w:rPr>
          <w:rFonts w:hint="eastAsia" w:ascii="仿宋_GB2312" w:hAnsi="仿宋" w:eastAsia="仿宋_GB2312"/>
          <w:bCs/>
          <w:sz w:val="32"/>
          <w:szCs w:val="32"/>
          <w:lang w:val="en-US" w:eastAsia="zh-CN"/>
        </w:rPr>
      </w:pPr>
      <w:r>
        <w:rPr>
          <w:rFonts w:hint="eastAsia" w:ascii="仿宋_GB2312" w:hAnsi="仿宋" w:eastAsia="仿宋_GB2312"/>
          <w:bCs/>
          <w:sz w:val="32"/>
          <w:szCs w:val="32"/>
          <w:lang w:val="en-US" w:eastAsia="zh-CN"/>
        </w:rPr>
        <w:t>指标分值10分，下设1个二级指标和1个三级指标，评价得分10分。</w:t>
      </w:r>
    </w:p>
    <w:p>
      <w:pPr>
        <w:adjustRightInd w:val="0"/>
        <w:snapToGrid w:val="0"/>
        <w:spacing w:line="600" w:lineRule="exact"/>
        <w:ind w:firstLine="640" w:firstLineChars="200"/>
        <w:outlineLvl w:val="2"/>
        <w:rPr>
          <w:rFonts w:hint="default" w:ascii="楷体" w:hAnsi="楷体" w:eastAsia="楷体" w:cs="仿宋"/>
          <w:b/>
          <w:bCs/>
          <w:sz w:val="32"/>
          <w:szCs w:val="32"/>
          <w:lang w:val="en-US" w:eastAsia="zh-CN" w:bidi="ar"/>
        </w:rPr>
      </w:pPr>
      <w:r>
        <w:rPr>
          <w:rFonts w:hint="eastAsia" w:ascii="仿宋_GB2312" w:hAnsi="仿宋" w:eastAsia="仿宋_GB2312"/>
          <w:b/>
          <w:bCs/>
          <w:sz w:val="32"/>
          <w:szCs w:val="32"/>
          <w:lang w:val="en-US" w:eastAsia="zh-CN"/>
        </w:rPr>
        <w:t>1.</w:t>
      </w:r>
      <w:r>
        <w:rPr>
          <w:rFonts w:hint="eastAsia" w:ascii="仿宋_GB2312" w:hAnsi="仿宋" w:eastAsia="仿宋_GB2312"/>
          <w:b/>
          <w:bCs/>
          <w:sz w:val="32"/>
          <w:szCs w:val="32"/>
        </w:rPr>
        <w:t>预算执行率。</w:t>
      </w:r>
      <w:r>
        <w:rPr>
          <w:rFonts w:hint="eastAsia" w:ascii="仿宋_GB2312" w:hAnsi="仿宋" w:eastAsia="仿宋_GB2312"/>
          <w:bCs/>
          <w:sz w:val="32"/>
          <w:szCs w:val="32"/>
          <w:lang w:val="en-US" w:eastAsia="zh-CN"/>
        </w:rPr>
        <w:t>2022</w:t>
      </w:r>
      <w:r>
        <w:rPr>
          <w:rFonts w:hint="eastAsia" w:ascii="仿宋_GB2312" w:hAnsi="仿宋" w:eastAsia="仿宋_GB2312"/>
          <w:bCs/>
          <w:sz w:val="32"/>
          <w:szCs w:val="32"/>
        </w:rPr>
        <w:t>年</w:t>
      </w:r>
      <w:r>
        <w:rPr>
          <w:rFonts w:hint="eastAsia" w:ascii="仿宋_GB2312" w:hAnsi="仿宋" w:eastAsia="仿宋_GB2312"/>
          <w:bCs/>
          <w:sz w:val="32"/>
          <w:szCs w:val="32"/>
          <w:lang w:val="en-US" w:eastAsia="zh-CN"/>
        </w:rPr>
        <w:t>预算数1130.4万元，实际到位1047.150179万元</w:t>
      </w:r>
      <w:r>
        <w:rPr>
          <w:rFonts w:hint="eastAsia" w:ascii="仿宋_GB2312" w:hAnsi="仿宋" w:eastAsia="仿宋_GB2312"/>
          <w:bCs/>
          <w:sz w:val="32"/>
          <w:szCs w:val="32"/>
        </w:rPr>
        <w:t>项目资金</w:t>
      </w:r>
      <w:r>
        <w:rPr>
          <w:rFonts w:hint="eastAsia" w:ascii="仿宋_GB2312" w:hAnsi="仿宋" w:eastAsia="仿宋_GB2312"/>
          <w:bCs/>
          <w:sz w:val="32"/>
          <w:szCs w:val="32"/>
          <w:lang w:eastAsia="zh-CN"/>
        </w:rPr>
        <w:t>，实际支出</w:t>
      </w:r>
      <w:r>
        <w:rPr>
          <w:rFonts w:hint="eastAsia" w:ascii="仿宋_GB2312" w:hAnsi="仿宋" w:eastAsia="仿宋_GB2312"/>
          <w:bCs/>
          <w:sz w:val="32"/>
          <w:szCs w:val="32"/>
          <w:lang w:val="en-US" w:eastAsia="zh-CN"/>
        </w:rPr>
        <w:t>1047.150179</w:t>
      </w:r>
      <w:r>
        <w:rPr>
          <w:rFonts w:hint="eastAsia" w:ascii="仿宋_GB2312" w:hAnsi="仿宋_GB2312" w:eastAsia="仿宋_GB2312" w:cs="仿宋_GB2312"/>
          <w:color w:val="000000"/>
          <w:kern w:val="0"/>
          <w:sz w:val="32"/>
          <w:szCs w:val="32"/>
          <w:lang w:val="en-US" w:eastAsia="zh-CN" w:bidi="ar"/>
        </w:rPr>
        <w:t>万元</w:t>
      </w:r>
      <w:r>
        <w:rPr>
          <w:rFonts w:hint="eastAsia" w:ascii="仿宋_GB2312" w:hAnsi="仿宋" w:eastAsia="仿宋_GB2312"/>
          <w:bCs/>
          <w:sz w:val="32"/>
          <w:szCs w:val="32"/>
        </w:rPr>
        <w:t>，预算执行率</w:t>
      </w:r>
      <w:r>
        <w:rPr>
          <w:rFonts w:hint="eastAsia" w:ascii="仿宋_GB2312" w:hAnsi="仿宋" w:eastAsia="仿宋_GB2312"/>
          <w:bCs/>
          <w:sz w:val="32"/>
          <w:szCs w:val="32"/>
          <w:lang w:val="en-US" w:eastAsia="zh-CN"/>
        </w:rPr>
        <w:t>92.64</w:t>
      </w:r>
      <w:r>
        <w:rPr>
          <w:rFonts w:hint="eastAsia" w:ascii="仿宋_GB2312" w:hAnsi="仿宋" w:eastAsia="仿宋_GB2312"/>
          <w:bCs/>
          <w:sz w:val="32"/>
          <w:szCs w:val="32"/>
        </w:rPr>
        <w:t>%。</w:t>
      </w:r>
    </w:p>
    <w:p>
      <w:pPr>
        <w:adjustRightInd w:val="0"/>
        <w:snapToGrid w:val="0"/>
        <w:spacing w:line="600" w:lineRule="exact"/>
        <w:ind w:firstLine="640" w:firstLineChars="200"/>
        <w:outlineLvl w:val="0"/>
        <w:rPr>
          <w:rFonts w:ascii="黑体" w:eastAsia="黑体" w:cs="黑体"/>
          <w:sz w:val="32"/>
          <w:szCs w:val="32"/>
          <w:highlight w:val="none"/>
          <w:lang w:bidi="ar"/>
        </w:rPr>
      </w:pPr>
      <w:bookmarkStart w:id="26" w:name="_Toc34815946"/>
      <w:bookmarkStart w:id="27" w:name="_Toc36216451"/>
      <w:bookmarkStart w:id="28" w:name="_Toc43821004"/>
      <w:r>
        <w:rPr>
          <w:rFonts w:hint="eastAsia" w:ascii="黑体" w:eastAsia="黑体" w:cs="黑体"/>
          <w:sz w:val="32"/>
          <w:szCs w:val="32"/>
          <w:highlight w:val="none"/>
          <w:lang w:bidi="ar"/>
        </w:rPr>
        <w:t>五、存在的问题及原因分析</w:t>
      </w:r>
    </w:p>
    <w:bookmarkEnd w:id="26"/>
    <w:bookmarkEnd w:id="27"/>
    <w:bookmarkEnd w:id="28"/>
    <w:p>
      <w:pPr>
        <w:adjustRightInd w:val="0"/>
        <w:snapToGrid w:val="0"/>
        <w:spacing w:line="600" w:lineRule="exact"/>
        <w:ind w:firstLine="640" w:firstLineChars="200"/>
        <w:outlineLvl w:val="0"/>
        <w:rPr>
          <w:rFonts w:hint="eastAsia" w:ascii="仿宋_GB2312" w:hAnsi="楷体" w:eastAsia="仿宋_GB2312" w:cs="仿宋"/>
          <w:b w:val="0"/>
          <w:bCs w:val="0"/>
          <w:sz w:val="32"/>
          <w:szCs w:val="32"/>
          <w:lang w:eastAsia="zh-CN" w:bidi="ar"/>
        </w:rPr>
      </w:pPr>
      <w:bookmarkStart w:id="29" w:name="_Toc43821005"/>
      <w:r>
        <w:rPr>
          <w:rFonts w:hint="eastAsia" w:ascii="仿宋_GB2312" w:hAnsi="楷体" w:eastAsia="仿宋_GB2312" w:cs="仿宋"/>
          <w:b w:val="0"/>
          <w:bCs w:val="0"/>
          <w:sz w:val="32"/>
          <w:szCs w:val="32"/>
          <w:lang w:bidi="ar"/>
        </w:rPr>
        <w:t>从绩效目标执行情况来看,预算项目总体执行现状与年度整体绩效目标一致</w:t>
      </w:r>
      <w:r>
        <w:rPr>
          <w:rFonts w:hint="eastAsia" w:ascii="仿宋_GB2312" w:hAnsi="楷体" w:eastAsia="仿宋_GB2312" w:cs="仿宋"/>
          <w:b w:val="0"/>
          <w:bCs w:val="0"/>
          <w:sz w:val="32"/>
          <w:szCs w:val="32"/>
          <w:lang w:eastAsia="zh-CN" w:bidi="ar"/>
        </w:rPr>
        <w:t>。</w:t>
      </w:r>
      <w:r>
        <w:rPr>
          <w:rFonts w:hint="eastAsia" w:ascii="仿宋_GB2312" w:hAnsi="楷体" w:eastAsia="仿宋_GB2312" w:cs="仿宋"/>
          <w:b w:val="0"/>
          <w:bCs w:val="0"/>
          <w:sz w:val="32"/>
          <w:szCs w:val="32"/>
          <w:lang w:bidi="ar"/>
        </w:rPr>
        <w:t>主要存在的问题是预算额度测算</w:t>
      </w:r>
      <w:r>
        <w:rPr>
          <w:rFonts w:hint="eastAsia" w:ascii="仿宋_GB2312" w:hAnsi="楷体" w:eastAsia="仿宋_GB2312" w:cs="仿宋"/>
          <w:b w:val="0"/>
          <w:bCs w:val="0"/>
          <w:sz w:val="32"/>
          <w:szCs w:val="32"/>
          <w:lang w:eastAsia="zh-CN" w:bidi="ar"/>
        </w:rPr>
        <w:t>和实际执行稍微存在些偏差。主要是由于预决算固有差异所致。</w:t>
      </w:r>
    </w:p>
    <w:p>
      <w:pPr>
        <w:adjustRightInd w:val="0"/>
        <w:snapToGrid w:val="0"/>
        <w:spacing w:line="600" w:lineRule="exact"/>
        <w:ind w:firstLine="640" w:firstLineChars="200"/>
        <w:outlineLvl w:val="0"/>
        <w:rPr>
          <w:rFonts w:ascii="黑体" w:eastAsia="黑体" w:cs="黑体"/>
          <w:sz w:val="32"/>
          <w:szCs w:val="32"/>
          <w:lang w:bidi="ar"/>
        </w:rPr>
      </w:pPr>
      <w:r>
        <w:rPr>
          <w:rFonts w:hint="eastAsia" w:ascii="黑体" w:eastAsia="黑体" w:cs="黑体"/>
          <w:sz w:val="32"/>
          <w:szCs w:val="32"/>
          <w:lang w:bidi="ar"/>
        </w:rPr>
        <w:t>六、有关建议</w:t>
      </w:r>
      <w:bookmarkEnd w:id="29"/>
    </w:p>
    <w:p>
      <w:pPr>
        <w:adjustRightInd w:val="0"/>
        <w:snapToGrid w:val="0"/>
        <w:spacing w:line="600" w:lineRule="exact"/>
        <w:ind w:firstLine="640" w:firstLineChars="200"/>
        <w:outlineLvl w:val="0"/>
        <w:rPr>
          <w:rFonts w:hint="default" w:ascii="仿宋_GB2312" w:hAnsi="楷体" w:eastAsia="仿宋_GB2312" w:cs="仿宋"/>
          <w:b w:val="0"/>
          <w:bCs w:val="0"/>
          <w:sz w:val="32"/>
          <w:szCs w:val="32"/>
          <w:lang w:val="en-US" w:eastAsia="zh-CN" w:bidi="ar"/>
        </w:rPr>
      </w:pPr>
      <w:r>
        <w:rPr>
          <w:rFonts w:hint="eastAsia" w:ascii="仿宋_GB2312" w:hAnsi="楷体" w:eastAsia="仿宋_GB2312" w:cs="仿宋"/>
          <w:b w:val="0"/>
          <w:bCs w:val="0"/>
          <w:sz w:val="32"/>
          <w:szCs w:val="32"/>
          <w:lang w:val="en-US" w:eastAsia="zh-CN" w:bidi="ar"/>
        </w:rPr>
        <w:t>1、加强预算管理，预算编制要合理，预算额度测算要准确。</w:t>
      </w:r>
    </w:p>
    <w:p>
      <w:pPr>
        <w:adjustRightInd w:val="0"/>
        <w:snapToGrid w:val="0"/>
        <w:spacing w:line="600" w:lineRule="exact"/>
        <w:ind w:firstLine="640" w:firstLineChars="200"/>
        <w:outlineLvl w:val="0"/>
        <w:rPr>
          <w:rFonts w:hint="eastAsia" w:ascii="仿宋_GB2312" w:hAnsi="楷体" w:eastAsia="仿宋_GB2312" w:cs="仿宋"/>
          <w:b w:val="0"/>
          <w:bCs w:val="0"/>
          <w:sz w:val="32"/>
          <w:szCs w:val="32"/>
          <w:lang w:bidi="ar"/>
        </w:rPr>
      </w:pPr>
      <w:r>
        <w:rPr>
          <w:rFonts w:hint="eastAsia" w:ascii="仿宋_GB2312" w:hAnsi="楷体" w:eastAsia="仿宋_GB2312" w:cs="仿宋"/>
          <w:b w:val="0"/>
          <w:bCs w:val="0"/>
          <w:sz w:val="32"/>
          <w:szCs w:val="32"/>
          <w:lang w:val="en-US" w:eastAsia="zh-CN" w:bidi="ar"/>
        </w:rPr>
        <w:t>2、</w:t>
      </w:r>
      <w:r>
        <w:rPr>
          <w:rFonts w:hint="eastAsia" w:ascii="仿宋_GB2312" w:hAnsi="楷体" w:eastAsia="仿宋_GB2312" w:cs="仿宋"/>
          <w:b w:val="0"/>
          <w:bCs w:val="0"/>
          <w:sz w:val="32"/>
          <w:szCs w:val="32"/>
          <w:lang w:bidi="ar"/>
        </w:rPr>
        <w:t>健全监控机制。从监控职责、监控内容、监控方式、监控程序和结果应用等各方面进行有效规范，为绩效运行监控工作有序推进奠定制度基础。</w:t>
      </w:r>
    </w:p>
    <w:p>
      <w:pPr>
        <w:adjustRightInd w:val="0"/>
        <w:snapToGrid w:val="0"/>
        <w:spacing w:line="600" w:lineRule="exact"/>
        <w:ind w:firstLine="640" w:firstLineChars="200"/>
        <w:outlineLvl w:val="0"/>
        <w:rPr>
          <w:rFonts w:hint="eastAsia" w:ascii="仿宋_GB2312" w:hAnsi="楷体" w:eastAsia="仿宋_GB2312" w:cs="仿宋"/>
          <w:b w:val="0"/>
          <w:bCs w:val="0"/>
          <w:sz w:val="32"/>
          <w:szCs w:val="32"/>
          <w:lang w:bidi="ar"/>
        </w:rPr>
      </w:pPr>
      <w:r>
        <w:rPr>
          <w:rFonts w:hint="eastAsia" w:ascii="仿宋_GB2312" w:hAnsi="楷体" w:eastAsia="仿宋_GB2312" w:cs="仿宋"/>
          <w:b w:val="0"/>
          <w:bCs w:val="0"/>
          <w:sz w:val="32"/>
          <w:szCs w:val="32"/>
          <w:lang w:val="en-US" w:eastAsia="zh-CN" w:bidi="ar"/>
        </w:rPr>
        <w:t>3、</w:t>
      </w:r>
      <w:r>
        <w:rPr>
          <w:rFonts w:hint="eastAsia" w:ascii="仿宋_GB2312" w:hAnsi="楷体" w:eastAsia="仿宋_GB2312" w:cs="仿宋"/>
          <w:b w:val="0"/>
          <w:bCs w:val="0"/>
          <w:sz w:val="32"/>
          <w:szCs w:val="32"/>
          <w:lang w:bidi="ar"/>
        </w:rPr>
        <w:t>重视结果应用。在对项目绩效目标指标完成情况进行梳理的过程中，及时发现项目运行存在的问题，及时查找资金使用和业务管理中的薄弱环节，及时弥补漏洞，纠正偏差，确保实现项目支出绩效目标。</w:t>
      </w:r>
    </w:p>
    <w:p>
      <w:pPr>
        <w:adjustRightInd w:val="0"/>
        <w:snapToGrid w:val="0"/>
        <w:spacing w:line="600" w:lineRule="exact"/>
        <w:ind w:firstLine="640" w:firstLineChars="200"/>
        <w:outlineLvl w:val="0"/>
        <w:rPr>
          <w:rFonts w:hint="eastAsia" w:ascii="黑体" w:eastAsia="黑体" w:cs="黑体"/>
          <w:sz w:val="32"/>
          <w:szCs w:val="32"/>
          <w:lang w:val="en-US" w:eastAsia="zh-CN" w:bidi="ar"/>
        </w:rPr>
      </w:pPr>
      <w:r>
        <w:rPr>
          <w:rFonts w:hint="eastAsia" w:ascii="黑体" w:eastAsia="黑体" w:cs="黑体"/>
          <w:sz w:val="32"/>
          <w:szCs w:val="32"/>
          <w:lang w:val="en-US" w:eastAsia="zh-CN" w:bidi="ar"/>
        </w:rPr>
        <w:t>七、评价工作组人员名单及签字</w:t>
      </w:r>
    </w:p>
    <w:p>
      <w:pPr>
        <w:adjustRightInd w:val="0"/>
        <w:snapToGrid w:val="0"/>
        <w:spacing w:line="600" w:lineRule="exact"/>
        <w:ind w:firstLine="640" w:firstLineChars="200"/>
        <w:outlineLvl w:val="0"/>
        <w:rPr>
          <w:rFonts w:hint="eastAsia" w:ascii="仿宋_GB2312" w:hAnsi="楷体" w:eastAsia="仿宋_GB2312" w:cs="仿宋"/>
          <w:b w:val="0"/>
          <w:bCs w:val="0"/>
          <w:sz w:val="32"/>
          <w:szCs w:val="32"/>
          <w:lang w:val="en-US" w:eastAsia="zh-CN" w:bidi="ar"/>
        </w:rPr>
      </w:pPr>
      <w:r>
        <w:rPr>
          <w:rFonts w:hint="eastAsia" w:ascii="仿宋_GB2312" w:hAnsi="楷体" w:eastAsia="仿宋_GB2312" w:cs="仿宋"/>
          <w:b w:val="0"/>
          <w:bCs w:val="0"/>
          <w:sz w:val="32"/>
          <w:szCs w:val="32"/>
          <w:lang w:val="en-US" w:eastAsia="zh-CN" w:bidi="ar"/>
        </w:rPr>
        <w:t>评价组人员共计5人，均为怀来县机关事务服务中心。</w:t>
      </w:r>
    </w:p>
    <w:p>
      <w:pPr>
        <w:adjustRightInd w:val="0"/>
        <w:snapToGrid w:val="0"/>
        <w:spacing w:line="600" w:lineRule="exact"/>
        <w:ind w:firstLine="640" w:firstLineChars="200"/>
        <w:outlineLvl w:val="0"/>
        <w:rPr>
          <w:rFonts w:hint="default" w:ascii="仿宋_GB2312" w:hAnsi="楷体" w:eastAsia="仿宋_GB2312" w:cs="仿宋"/>
          <w:b w:val="0"/>
          <w:bCs w:val="0"/>
          <w:sz w:val="32"/>
          <w:szCs w:val="32"/>
          <w:lang w:val="en-US" w:eastAsia="zh-CN" w:bidi="ar"/>
        </w:rPr>
      </w:pPr>
    </w:p>
    <w:tbl>
      <w:tblPr>
        <w:tblStyle w:val="7"/>
        <w:tblW w:w="6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132" w:type="dxa"/>
          </w:tcPr>
          <w:p>
            <w:pPr>
              <w:adjustRightInd w:val="0"/>
              <w:snapToGrid w:val="0"/>
              <w:spacing w:line="360" w:lineRule="auto"/>
              <w:rPr>
                <w:rFonts w:hint="eastAsia" w:ascii="仿宋" w:hAnsi="仿宋" w:eastAsia="仿宋"/>
                <w:sz w:val="32"/>
                <w:szCs w:val="32"/>
                <w:vertAlign w:val="baseline"/>
                <w:lang w:val="en-US" w:eastAsia="zh-CN"/>
              </w:rPr>
            </w:pPr>
            <w:r>
              <w:rPr>
                <w:rFonts w:hint="eastAsia" w:ascii="仿宋" w:hAnsi="仿宋" w:eastAsia="仿宋"/>
                <w:sz w:val="32"/>
                <w:szCs w:val="32"/>
                <w:vertAlign w:val="baseline"/>
                <w:lang w:val="en-US" w:eastAsia="zh-CN"/>
              </w:rPr>
              <w:t>姓名</w:t>
            </w:r>
          </w:p>
        </w:tc>
        <w:tc>
          <w:tcPr>
            <w:tcW w:w="2132" w:type="dxa"/>
          </w:tcPr>
          <w:p>
            <w:pPr>
              <w:adjustRightInd w:val="0"/>
              <w:snapToGrid w:val="0"/>
              <w:spacing w:line="360" w:lineRule="auto"/>
              <w:rPr>
                <w:rFonts w:hint="default" w:ascii="仿宋" w:hAnsi="仿宋" w:eastAsia="仿宋"/>
                <w:sz w:val="32"/>
                <w:szCs w:val="32"/>
                <w:vertAlign w:val="baseline"/>
                <w:lang w:val="en-US" w:eastAsia="zh-CN"/>
              </w:rPr>
            </w:pPr>
            <w:r>
              <w:rPr>
                <w:rFonts w:hint="eastAsia" w:ascii="仿宋" w:hAnsi="仿宋" w:eastAsia="仿宋"/>
                <w:sz w:val="32"/>
                <w:szCs w:val="32"/>
                <w:vertAlign w:val="baseline"/>
                <w:lang w:val="en-US" w:eastAsia="zh-CN"/>
              </w:rPr>
              <w:t>职务</w:t>
            </w:r>
          </w:p>
        </w:tc>
        <w:tc>
          <w:tcPr>
            <w:tcW w:w="2132" w:type="dxa"/>
          </w:tcPr>
          <w:p>
            <w:pPr>
              <w:adjustRightInd w:val="0"/>
              <w:snapToGrid w:val="0"/>
              <w:spacing w:line="360" w:lineRule="auto"/>
              <w:rPr>
                <w:rFonts w:hint="default" w:ascii="仿宋" w:hAnsi="仿宋" w:eastAsia="仿宋"/>
                <w:sz w:val="32"/>
                <w:szCs w:val="32"/>
                <w:vertAlign w:val="baseline"/>
                <w:lang w:val="en-US" w:eastAsia="zh-CN"/>
              </w:rPr>
            </w:pPr>
            <w:r>
              <w:rPr>
                <w:rFonts w:hint="eastAsia" w:ascii="仿宋" w:hAnsi="仿宋" w:eastAsia="仿宋"/>
                <w:sz w:val="32"/>
                <w:szCs w:val="32"/>
                <w:vertAlign w:val="baseline"/>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132" w:type="dxa"/>
          </w:tcPr>
          <w:p>
            <w:pPr>
              <w:adjustRightInd w:val="0"/>
              <w:snapToGrid w:val="0"/>
              <w:spacing w:line="360" w:lineRule="auto"/>
              <w:rPr>
                <w:rFonts w:hint="eastAsia" w:ascii="仿宋" w:hAnsi="仿宋" w:eastAsia="仿宋"/>
                <w:sz w:val="32"/>
                <w:szCs w:val="32"/>
                <w:vertAlign w:val="baseline"/>
                <w:lang w:val="en-US" w:eastAsia="zh-CN"/>
              </w:rPr>
            </w:pPr>
            <w:r>
              <w:rPr>
                <w:rFonts w:hint="eastAsia" w:ascii="仿宋" w:hAnsi="仿宋" w:eastAsia="仿宋"/>
                <w:sz w:val="32"/>
                <w:szCs w:val="32"/>
                <w:vertAlign w:val="baseline"/>
                <w:lang w:val="en-US" w:eastAsia="zh-CN"/>
              </w:rPr>
              <w:t>狄晓默</w:t>
            </w:r>
          </w:p>
        </w:tc>
        <w:tc>
          <w:tcPr>
            <w:tcW w:w="2132" w:type="dxa"/>
          </w:tcPr>
          <w:p>
            <w:pPr>
              <w:adjustRightInd w:val="0"/>
              <w:snapToGrid w:val="0"/>
              <w:spacing w:line="360" w:lineRule="auto"/>
              <w:rPr>
                <w:rFonts w:ascii="仿宋" w:hAnsi="仿宋" w:eastAsia="仿宋"/>
                <w:sz w:val="32"/>
                <w:szCs w:val="32"/>
                <w:vertAlign w:val="baseline"/>
              </w:rPr>
            </w:pPr>
          </w:p>
        </w:tc>
        <w:tc>
          <w:tcPr>
            <w:tcW w:w="2132" w:type="dxa"/>
          </w:tcPr>
          <w:p>
            <w:pPr>
              <w:adjustRightInd w:val="0"/>
              <w:snapToGrid w:val="0"/>
              <w:spacing w:line="360" w:lineRule="auto"/>
              <w:rPr>
                <w:rFonts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132" w:type="dxa"/>
          </w:tcPr>
          <w:p>
            <w:pPr>
              <w:adjustRightInd w:val="0"/>
              <w:snapToGrid w:val="0"/>
              <w:spacing w:line="360" w:lineRule="auto"/>
              <w:rPr>
                <w:rFonts w:hint="eastAsia" w:ascii="仿宋" w:hAnsi="仿宋" w:eastAsia="仿宋"/>
                <w:sz w:val="32"/>
                <w:szCs w:val="32"/>
                <w:vertAlign w:val="baseline"/>
                <w:lang w:val="en-US" w:eastAsia="zh-CN"/>
              </w:rPr>
            </w:pPr>
            <w:r>
              <w:rPr>
                <w:rFonts w:hint="eastAsia" w:ascii="仿宋" w:hAnsi="仿宋" w:eastAsia="仿宋"/>
                <w:sz w:val="32"/>
                <w:szCs w:val="32"/>
                <w:vertAlign w:val="baseline"/>
                <w:lang w:val="en-US" w:eastAsia="zh-CN"/>
              </w:rPr>
              <w:t>张志国</w:t>
            </w:r>
          </w:p>
        </w:tc>
        <w:tc>
          <w:tcPr>
            <w:tcW w:w="2132" w:type="dxa"/>
          </w:tcPr>
          <w:p>
            <w:pPr>
              <w:adjustRightInd w:val="0"/>
              <w:snapToGrid w:val="0"/>
              <w:spacing w:line="360" w:lineRule="auto"/>
              <w:rPr>
                <w:rFonts w:ascii="仿宋" w:hAnsi="仿宋" w:eastAsia="仿宋"/>
                <w:sz w:val="32"/>
                <w:szCs w:val="32"/>
                <w:vertAlign w:val="baseline"/>
              </w:rPr>
            </w:pPr>
          </w:p>
        </w:tc>
        <w:tc>
          <w:tcPr>
            <w:tcW w:w="2132" w:type="dxa"/>
          </w:tcPr>
          <w:p>
            <w:pPr>
              <w:adjustRightInd w:val="0"/>
              <w:snapToGrid w:val="0"/>
              <w:spacing w:line="360" w:lineRule="auto"/>
              <w:rPr>
                <w:rFonts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132" w:type="dxa"/>
          </w:tcPr>
          <w:p>
            <w:pPr>
              <w:adjustRightInd w:val="0"/>
              <w:snapToGrid w:val="0"/>
              <w:spacing w:line="360" w:lineRule="auto"/>
              <w:rPr>
                <w:rFonts w:hint="eastAsia" w:ascii="仿宋" w:hAnsi="仿宋" w:eastAsia="仿宋"/>
                <w:sz w:val="32"/>
                <w:szCs w:val="32"/>
                <w:vertAlign w:val="baseline"/>
                <w:lang w:val="en-US" w:eastAsia="zh-CN"/>
              </w:rPr>
            </w:pPr>
            <w:r>
              <w:rPr>
                <w:rFonts w:hint="eastAsia" w:ascii="仿宋" w:hAnsi="仿宋" w:eastAsia="仿宋"/>
                <w:sz w:val="32"/>
                <w:szCs w:val="32"/>
                <w:vertAlign w:val="baseline"/>
                <w:lang w:val="en-US" w:eastAsia="zh-CN"/>
              </w:rPr>
              <w:t>高雅军</w:t>
            </w:r>
          </w:p>
        </w:tc>
        <w:tc>
          <w:tcPr>
            <w:tcW w:w="2132" w:type="dxa"/>
          </w:tcPr>
          <w:p>
            <w:pPr>
              <w:adjustRightInd w:val="0"/>
              <w:snapToGrid w:val="0"/>
              <w:spacing w:line="360" w:lineRule="auto"/>
              <w:rPr>
                <w:rFonts w:ascii="仿宋" w:hAnsi="仿宋" w:eastAsia="仿宋"/>
                <w:sz w:val="32"/>
                <w:szCs w:val="32"/>
                <w:vertAlign w:val="baseline"/>
              </w:rPr>
            </w:pPr>
          </w:p>
        </w:tc>
        <w:tc>
          <w:tcPr>
            <w:tcW w:w="2132" w:type="dxa"/>
          </w:tcPr>
          <w:p>
            <w:pPr>
              <w:adjustRightInd w:val="0"/>
              <w:snapToGrid w:val="0"/>
              <w:spacing w:line="360" w:lineRule="auto"/>
              <w:rPr>
                <w:rFonts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132" w:type="dxa"/>
          </w:tcPr>
          <w:p>
            <w:pPr>
              <w:adjustRightInd w:val="0"/>
              <w:snapToGrid w:val="0"/>
              <w:spacing w:line="360" w:lineRule="auto"/>
              <w:rPr>
                <w:rFonts w:hint="eastAsia" w:ascii="仿宋" w:hAnsi="仿宋" w:eastAsia="仿宋"/>
                <w:sz w:val="32"/>
                <w:szCs w:val="32"/>
                <w:vertAlign w:val="baseline"/>
                <w:lang w:val="en-US" w:eastAsia="zh-CN"/>
              </w:rPr>
            </w:pPr>
            <w:r>
              <w:rPr>
                <w:rFonts w:hint="eastAsia" w:ascii="仿宋" w:hAnsi="仿宋" w:eastAsia="仿宋"/>
                <w:sz w:val="32"/>
                <w:szCs w:val="32"/>
                <w:vertAlign w:val="baseline"/>
                <w:lang w:val="en-US" w:eastAsia="zh-CN"/>
              </w:rPr>
              <w:t>王涛</w:t>
            </w:r>
          </w:p>
        </w:tc>
        <w:tc>
          <w:tcPr>
            <w:tcW w:w="2132" w:type="dxa"/>
          </w:tcPr>
          <w:p>
            <w:pPr>
              <w:adjustRightInd w:val="0"/>
              <w:snapToGrid w:val="0"/>
              <w:spacing w:line="360" w:lineRule="auto"/>
              <w:rPr>
                <w:rFonts w:ascii="仿宋" w:hAnsi="仿宋" w:eastAsia="仿宋"/>
                <w:sz w:val="32"/>
                <w:szCs w:val="32"/>
                <w:vertAlign w:val="baseline"/>
              </w:rPr>
            </w:pPr>
          </w:p>
        </w:tc>
        <w:tc>
          <w:tcPr>
            <w:tcW w:w="2132" w:type="dxa"/>
          </w:tcPr>
          <w:p>
            <w:pPr>
              <w:adjustRightInd w:val="0"/>
              <w:snapToGrid w:val="0"/>
              <w:spacing w:line="360" w:lineRule="auto"/>
              <w:rPr>
                <w:rFonts w:ascii="仿宋" w:hAnsi="仿宋" w:eastAsia="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jc w:val="center"/>
        </w:trPr>
        <w:tc>
          <w:tcPr>
            <w:tcW w:w="2132" w:type="dxa"/>
          </w:tcPr>
          <w:p>
            <w:pPr>
              <w:adjustRightInd w:val="0"/>
              <w:snapToGrid w:val="0"/>
              <w:spacing w:line="360" w:lineRule="auto"/>
              <w:rPr>
                <w:rFonts w:hint="eastAsia" w:ascii="仿宋" w:hAnsi="仿宋" w:eastAsia="仿宋"/>
                <w:sz w:val="32"/>
                <w:szCs w:val="32"/>
                <w:vertAlign w:val="baseline"/>
                <w:lang w:val="en-US" w:eastAsia="zh-CN"/>
              </w:rPr>
            </w:pPr>
            <w:r>
              <w:rPr>
                <w:rFonts w:hint="eastAsia" w:ascii="仿宋" w:hAnsi="仿宋" w:eastAsia="仿宋"/>
                <w:sz w:val="32"/>
                <w:szCs w:val="32"/>
                <w:vertAlign w:val="baseline"/>
                <w:lang w:val="en-US" w:eastAsia="zh-CN"/>
              </w:rPr>
              <w:t>闫雪雅</w:t>
            </w:r>
          </w:p>
        </w:tc>
        <w:tc>
          <w:tcPr>
            <w:tcW w:w="2132" w:type="dxa"/>
          </w:tcPr>
          <w:p>
            <w:pPr>
              <w:adjustRightInd w:val="0"/>
              <w:snapToGrid w:val="0"/>
              <w:spacing w:line="360" w:lineRule="auto"/>
              <w:rPr>
                <w:rFonts w:ascii="仿宋" w:hAnsi="仿宋" w:eastAsia="仿宋"/>
                <w:sz w:val="32"/>
                <w:szCs w:val="32"/>
                <w:vertAlign w:val="baseline"/>
              </w:rPr>
            </w:pPr>
            <w:bookmarkStart w:id="30" w:name="_GoBack"/>
            <w:bookmarkEnd w:id="30"/>
          </w:p>
        </w:tc>
        <w:tc>
          <w:tcPr>
            <w:tcW w:w="2132" w:type="dxa"/>
          </w:tcPr>
          <w:p>
            <w:pPr>
              <w:adjustRightInd w:val="0"/>
              <w:snapToGrid w:val="0"/>
              <w:spacing w:line="360" w:lineRule="auto"/>
              <w:rPr>
                <w:rFonts w:ascii="仿宋" w:hAnsi="仿宋" w:eastAsia="仿宋"/>
                <w:sz w:val="32"/>
                <w:szCs w:val="32"/>
                <w:vertAlign w:val="baseline"/>
              </w:rPr>
            </w:pPr>
          </w:p>
        </w:tc>
      </w:tr>
    </w:tbl>
    <w:p>
      <w:pPr>
        <w:adjustRightInd w:val="0"/>
        <w:snapToGrid w:val="0"/>
        <w:spacing w:line="360" w:lineRule="auto"/>
        <w:rPr>
          <w:rFonts w:ascii="仿宋" w:hAnsi="仿宋" w:eastAsia="仿宋"/>
          <w:sz w:val="32"/>
          <w:szCs w:val="32"/>
        </w:rPr>
      </w:pPr>
    </w:p>
    <w:p>
      <w:pPr>
        <w:numPr>
          <w:ilvl w:val="255"/>
          <w:numId w:val="0"/>
        </w:numPr>
        <w:spacing w:line="600" w:lineRule="exact"/>
        <w:ind w:firstLine="640" w:firstLineChars="200"/>
        <w:jc w:val="right"/>
        <w:rPr>
          <w:rFonts w:hint="eastAsia" w:ascii="仿宋_GB2312" w:hAnsi="仿宋" w:eastAsia="仿宋_GB2312" w:cs="仿宋"/>
          <w:sz w:val="32"/>
          <w:szCs w:val="32"/>
          <w:lang w:eastAsia="zh-CN"/>
        </w:rPr>
      </w:pPr>
    </w:p>
    <w:p>
      <w:pPr>
        <w:numPr>
          <w:ilvl w:val="255"/>
          <w:numId w:val="0"/>
        </w:numPr>
        <w:spacing w:line="600" w:lineRule="exact"/>
        <w:ind w:firstLine="640" w:firstLineChars="200"/>
        <w:jc w:val="right"/>
        <w:rPr>
          <w:rFonts w:hint="eastAsia" w:ascii="仿宋_GB2312" w:hAnsi="仿宋" w:eastAsia="仿宋_GB2312" w:cs="仿宋"/>
          <w:sz w:val="32"/>
          <w:szCs w:val="32"/>
          <w:lang w:eastAsia="zh-CN"/>
        </w:rPr>
      </w:pPr>
    </w:p>
    <w:p>
      <w:pPr>
        <w:adjustRightInd w:val="0"/>
        <w:snapToGrid w:val="0"/>
        <w:spacing w:line="600" w:lineRule="exact"/>
        <w:jc w:val="right"/>
        <w:outlineLvl w:val="0"/>
        <w:rPr>
          <w:rFonts w:hint="eastAsia" w:ascii="仿宋_GB2312" w:hAnsi="楷体" w:eastAsia="仿宋_GB2312" w:cs="仿宋"/>
          <w:b w:val="0"/>
          <w:bCs w:val="0"/>
          <w:sz w:val="32"/>
          <w:szCs w:val="32"/>
          <w:lang w:val="en-US" w:eastAsia="zh-CN" w:bidi="ar"/>
        </w:rPr>
      </w:pPr>
      <w:r>
        <w:rPr>
          <w:rFonts w:hint="eastAsia" w:ascii="仿宋_GB2312" w:hAnsi="楷体" w:eastAsia="仿宋_GB2312" w:cs="仿宋"/>
          <w:b w:val="0"/>
          <w:bCs w:val="0"/>
          <w:sz w:val="32"/>
          <w:szCs w:val="32"/>
          <w:lang w:val="en-US" w:eastAsia="zh-CN" w:bidi="ar"/>
        </w:rPr>
        <w:t>怀来县机关事务服务中心</w:t>
      </w:r>
    </w:p>
    <w:p>
      <w:pPr>
        <w:adjustRightInd w:val="0"/>
        <w:snapToGrid w:val="0"/>
        <w:spacing w:line="600" w:lineRule="exact"/>
        <w:jc w:val="right"/>
        <w:outlineLvl w:val="0"/>
        <w:rPr>
          <w:rFonts w:hint="default" w:ascii="仿宋_GB2312" w:hAnsi="楷体" w:eastAsia="仿宋_GB2312" w:cs="仿宋"/>
          <w:b w:val="0"/>
          <w:bCs w:val="0"/>
          <w:sz w:val="32"/>
          <w:szCs w:val="32"/>
          <w:lang w:val="en-US" w:eastAsia="zh-CN" w:bidi="ar"/>
        </w:rPr>
      </w:pPr>
      <w:r>
        <w:rPr>
          <w:rFonts w:hint="eastAsia" w:ascii="仿宋_GB2312" w:hAnsi="楷体" w:eastAsia="仿宋_GB2312" w:cs="仿宋"/>
          <w:b w:val="0"/>
          <w:bCs w:val="0"/>
          <w:sz w:val="32"/>
          <w:szCs w:val="32"/>
          <w:lang w:val="en-US" w:eastAsia="zh-CN" w:bidi="ar"/>
        </w:rPr>
        <w:t>2023年3月30日</w:t>
      </w:r>
    </w:p>
    <w:p/>
    <w:sectPr>
      <w:footerReference r:id="rId3"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34067756"/>
      <w:docPartObj>
        <w:docPartGallery w:val="autotext"/>
      </w:docPartObj>
    </w:sdtPr>
    <w:sdtContent>
      <w:p>
        <w:pPr>
          <w:pStyle w:val="2"/>
          <w:jc w:val="center"/>
        </w:pPr>
        <w:r>
          <w:fldChar w:fldCharType="begin"/>
        </w:r>
        <w:r>
          <w:instrText xml:space="preserve">PAGE   \* MERGEFORMAT</w:instrText>
        </w:r>
        <w:r>
          <w:fldChar w:fldCharType="separate"/>
        </w:r>
        <w:r>
          <w:rPr>
            <w:lang w:val="zh-CN"/>
          </w:rPr>
          <w:t>21</w:t>
        </w:r>
        <w:r>
          <w:fldChar w:fldCharType="end"/>
        </w:r>
      </w:p>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19B156"/>
    <w:multiLevelType w:val="singleLevel"/>
    <w:tmpl w:val="E619B156"/>
    <w:lvl w:ilvl="0" w:tentative="0">
      <w:start w:val="3"/>
      <w:numFmt w:val="chineseCounting"/>
      <w:suff w:val="nothing"/>
      <w:lvlText w:val="（%1）"/>
      <w:lvlJc w:val="left"/>
      <w:rPr>
        <w:rFonts w:hint="eastAsia"/>
      </w:rPr>
    </w:lvl>
  </w:abstractNum>
  <w:abstractNum w:abstractNumId="1">
    <w:nsid w:val="1458749E"/>
    <w:multiLevelType w:val="singleLevel"/>
    <w:tmpl w:val="1458749E"/>
    <w:lvl w:ilvl="0" w:tentative="0">
      <w:start w:val="2"/>
      <w:numFmt w:val="decimal"/>
      <w:suff w:val="nothing"/>
      <w:lvlText w:val="（%1）"/>
      <w:lvlJc w:val="left"/>
    </w:lvl>
  </w:abstractNum>
  <w:abstractNum w:abstractNumId="2">
    <w:nsid w:val="2A1F1E1B"/>
    <w:multiLevelType w:val="singleLevel"/>
    <w:tmpl w:val="2A1F1E1B"/>
    <w:lvl w:ilvl="0" w:tentative="0">
      <w:start w:val="1"/>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FkZmViMGM2ZDMzNzFkNWJiMGI1NWM2ODE2NDJiZDUifQ=="/>
  </w:docVars>
  <w:rsids>
    <w:rsidRoot w:val="1CC15EA0"/>
    <w:rsid w:val="0297204E"/>
    <w:rsid w:val="07E850FA"/>
    <w:rsid w:val="141554C8"/>
    <w:rsid w:val="1BB76E65"/>
    <w:rsid w:val="1CC15EA0"/>
    <w:rsid w:val="1D234DB0"/>
    <w:rsid w:val="1E57591B"/>
    <w:rsid w:val="1F7E2174"/>
    <w:rsid w:val="2BFC7801"/>
    <w:rsid w:val="2DCC5C2A"/>
    <w:rsid w:val="2F651D0D"/>
    <w:rsid w:val="356044ED"/>
    <w:rsid w:val="41541939"/>
    <w:rsid w:val="47671050"/>
    <w:rsid w:val="4D5A74CD"/>
    <w:rsid w:val="56B23ED5"/>
    <w:rsid w:val="579B2BBB"/>
    <w:rsid w:val="76C0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toc 1"/>
    <w:basedOn w:val="1"/>
    <w:next w:val="1"/>
    <w:unhideWhenUsed/>
    <w:qFormat/>
    <w:uiPriority w:val="39"/>
    <w:pPr>
      <w:tabs>
        <w:tab w:val="right" w:leader="dot" w:pos="8630"/>
      </w:tabs>
    </w:pPr>
    <w:rPr>
      <w:rFonts w:ascii="黑体" w:hAnsi="黑体" w:eastAsia="黑体" w:cs="Times New Roman"/>
      <w:sz w:val="28"/>
      <w:szCs w:val="28"/>
    </w:rPr>
  </w:style>
  <w:style w:type="paragraph" w:styleId="4">
    <w:name w:val="toc 2"/>
    <w:basedOn w:val="1"/>
    <w:next w:val="1"/>
    <w:unhideWhenUsed/>
    <w:qFormat/>
    <w:uiPriority w:val="39"/>
    <w:pPr>
      <w:ind w:left="420" w:leftChars="200"/>
    </w:pPr>
    <w:rPr>
      <w:szCs w:val="24"/>
    </w:rPr>
  </w:style>
  <w:style w:type="paragraph" w:styleId="5">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paragraph" w:styleId="10">
    <w:name w:val="List Paragraph"/>
    <w:basedOn w:val="1"/>
    <w:qFormat/>
    <w:uiPriority w:val="34"/>
    <w:pPr>
      <w:spacing w:line="240" w:lineRule="atLeast"/>
      <w:ind w:left="1679"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132</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2023-03-31T08:21:00Z</dcterms:created>
  <dc:creator>一粒闫</dc:creator>
  <cp:lastModifiedBy>一粒闫</cp:lastModifiedBy>
  <dcterms:modified xsi:type="dcterms:W3CDTF">2023-04-04T02:19:50Z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797133FDD5D54C9FB77B5229111C59C9</vt:lpwstr>
  </property>
</Properties>
</file>