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河北省</w:t>
      </w:r>
      <w:r>
        <w:rPr>
          <w:rFonts w:hint="eastAsia" w:ascii="Times New Roman" w:hAnsi="Times New Roman" w:eastAsia="方正小标宋_GBK" w:cs="Times New Roman"/>
          <w:sz w:val="44"/>
          <w:szCs w:val="44"/>
        </w:rPr>
        <w:t>怀来县妇幼保健计划生育服务中心</w:t>
      </w:r>
      <w:r>
        <w:rPr>
          <w:rFonts w:ascii="Times New Roman" w:hAnsi="Times New Roman" w:eastAsia="方正小标宋_GBK" w:cs="Times New Roman"/>
          <w:sz w:val="44"/>
          <w:szCs w:val="44"/>
        </w:rPr>
        <w:t>201</w:t>
      </w:r>
      <w:r>
        <w:rPr>
          <w:rFonts w:hint="eastAsia" w:ascii="Times New Roman" w:hAnsi="Times New Roman" w:eastAsia="方正小标宋_GBK" w:cs="Times New Roman"/>
          <w:sz w:val="44"/>
          <w:szCs w:val="44"/>
        </w:rPr>
        <w:t>8</w:t>
      </w:r>
      <w:r>
        <w:rPr>
          <w:rFonts w:ascii="Times New Roman" w:hAnsi="Times New Roman" w:eastAsia="方正小标宋_GBK" w:cs="Times New Roman"/>
          <w:sz w:val="44"/>
          <w:szCs w:val="44"/>
        </w:rPr>
        <w:t>年部门预算信息公开</w:t>
      </w:r>
    </w:p>
    <w:p>
      <w:pPr>
        <w:ind w:firstLine="640" w:firstLineChars="200"/>
        <w:rPr>
          <w:rFonts w:ascii="仿宋" w:hAnsi="仿宋" w:eastAsia="仿宋" w:cs="Times New Roman"/>
          <w:sz w:val="30"/>
          <w:szCs w:val="30"/>
        </w:rPr>
      </w:pPr>
      <w:r>
        <w:rPr>
          <w:rFonts w:ascii="仿宋" w:hAnsi="仿宋" w:eastAsia="仿宋" w:cs="Times New Roman"/>
          <w:sz w:val="32"/>
          <w:szCs w:val="32"/>
        </w:rPr>
        <w:t>按照</w:t>
      </w:r>
      <w:r>
        <w:rPr>
          <w:rFonts w:hint="eastAsia" w:ascii="仿宋" w:hAnsi="仿宋" w:eastAsia="仿宋" w:cs="Times New Roman"/>
          <w:sz w:val="32"/>
          <w:szCs w:val="32"/>
        </w:rPr>
        <w:t>《</w:t>
      </w:r>
      <w:r>
        <w:rPr>
          <w:rFonts w:hint="eastAsia" w:ascii="仿宋" w:hAnsi="仿宋" w:eastAsia="仿宋" w:cs="Times New Roman"/>
          <w:sz w:val="32"/>
          <w:szCs w:val="32"/>
          <w:lang w:val="en-US" w:eastAsia="zh-CN"/>
        </w:rPr>
        <w:t>中华人民共和国</w:t>
      </w:r>
      <w:bookmarkStart w:id="3" w:name="_GoBack"/>
      <w:bookmarkEnd w:id="3"/>
      <w:r>
        <w:rPr>
          <w:rFonts w:hint="eastAsia" w:ascii="仿宋" w:hAnsi="仿宋" w:eastAsia="仿宋" w:cs="Times New Roman"/>
          <w:sz w:val="32"/>
          <w:szCs w:val="32"/>
        </w:rPr>
        <w:t>预算法》、</w:t>
      </w:r>
      <w:r>
        <w:rPr>
          <w:rFonts w:ascii="仿宋" w:hAnsi="仿宋" w:eastAsia="仿宋" w:cs="Times New Roman"/>
          <w:sz w:val="32"/>
          <w:szCs w:val="32"/>
        </w:rPr>
        <w:t>《地方预决算公开操作规程》和《河北省省级预算公开办法》</w:t>
      </w:r>
      <w:r>
        <w:rPr>
          <w:rFonts w:hint="eastAsia" w:ascii="仿宋" w:hAnsi="仿宋" w:eastAsia="仿宋" w:cs="Times New Roman"/>
          <w:sz w:val="32"/>
          <w:szCs w:val="32"/>
        </w:rPr>
        <w:t>规定</w:t>
      </w:r>
      <w:r>
        <w:rPr>
          <w:rFonts w:ascii="仿宋" w:hAnsi="仿宋" w:eastAsia="仿宋" w:cs="Times New Roman"/>
          <w:sz w:val="32"/>
          <w:szCs w:val="32"/>
        </w:rPr>
        <w:t>，</w:t>
      </w:r>
      <w:r>
        <w:rPr>
          <w:rFonts w:ascii="仿宋" w:hAnsi="仿宋" w:eastAsia="仿宋" w:cs="Times New Roman"/>
          <w:sz w:val="30"/>
          <w:szCs w:val="30"/>
        </w:rPr>
        <w:t>现</w:t>
      </w:r>
      <w:r>
        <w:rPr>
          <w:rFonts w:hint="eastAsia" w:ascii="仿宋" w:hAnsi="仿宋" w:eastAsia="仿宋" w:cs="Times New Roman"/>
          <w:sz w:val="30"/>
          <w:szCs w:val="30"/>
        </w:rPr>
        <w:t>将</w:t>
      </w:r>
      <w:r>
        <w:rPr>
          <w:rFonts w:ascii="Times New Roman" w:hAnsi="Times New Roman" w:eastAsia="方正小标宋_GBK" w:cs="Times New Roman"/>
          <w:sz w:val="30"/>
          <w:szCs w:val="30"/>
        </w:rPr>
        <w:t>河北省</w:t>
      </w:r>
      <w:r>
        <w:rPr>
          <w:rFonts w:hint="eastAsia" w:ascii="Times New Roman" w:hAnsi="Times New Roman" w:eastAsia="方正小标宋_GBK" w:cs="Times New Roman"/>
          <w:sz w:val="30"/>
          <w:szCs w:val="30"/>
        </w:rPr>
        <w:t>怀来县妇幼保健计划生育服务中心</w:t>
      </w:r>
      <w:r>
        <w:rPr>
          <w:rFonts w:ascii="仿宋" w:hAnsi="仿宋" w:eastAsia="仿宋" w:cs="Times New Roman"/>
          <w:sz w:val="30"/>
          <w:szCs w:val="30"/>
        </w:rPr>
        <w:t>201</w:t>
      </w:r>
      <w:r>
        <w:rPr>
          <w:rFonts w:hint="eastAsia" w:ascii="仿宋" w:hAnsi="仿宋" w:eastAsia="仿宋" w:cs="Times New Roman"/>
          <w:sz w:val="30"/>
          <w:szCs w:val="30"/>
        </w:rPr>
        <w:t>8</w:t>
      </w:r>
      <w:r>
        <w:rPr>
          <w:rFonts w:ascii="仿宋" w:hAnsi="仿宋" w:eastAsia="仿宋" w:cs="Times New Roman"/>
          <w:sz w:val="30"/>
          <w:szCs w:val="30"/>
        </w:rPr>
        <w:t>年部门预算公开如下：</w:t>
      </w:r>
    </w:p>
    <w:p>
      <w:pPr>
        <w:ind w:firstLine="640"/>
        <w:rPr>
          <w:rFonts w:ascii="黑体" w:hAnsi="黑体" w:eastAsia="黑体" w:cs="Times New Roman"/>
          <w:sz w:val="32"/>
          <w:szCs w:val="32"/>
        </w:rPr>
      </w:pPr>
      <w:r>
        <w:rPr>
          <w:rFonts w:hint="eastAsia" w:ascii="黑体" w:hAnsi="黑体" w:eastAsia="黑体" w:cs="Times New Roman"/>
          <w:sz w:val="32"/>
          <w:szCs w:val="32"/>
        </w:rPr>
        <w:t>一、部门职责及机构设置情况</w:t>
      </w:r>
    </w:p>
    <w:p>
      <w:pPr>
        <w:rPr>
          <w:rFonts w:ascii="仿宋_GB2312" w:eastAsia="仿宋_GB2312"/>
          <w:b/>
          <w:sz w:val="32"/>
          <w:szCs w:val="32"/>
        </w:rPr>
      </w:pPr>
      <w:r>
        <w:rPr>
          <w:rFonts w:hint="eastAsia" w:ascii="仿宋" w:hAnsi="仿宋" w:eastAsia="仿宋" w:cs="Times New Roman"/>
          <w:b/>
          <w:sz w:val="32"/>
          <w:szCs w:val="32"/>
        </w:rPr>
        <w:t>部门</w:t>
      </w:r>
      <w:r>
        <w:rPr>
          <w:rFonts w:ascii="仿宋" w:hAnsi="仿宋" w:eastAsia="仿宋" w:cs="Times New Roman"/>
          <w:b/>
          <w:sz w:val="32"/>
          <w:szCs w:val="32"/>
        </w:rPr>
        <w:t>职责：</w:t>
      </w:r>
      <w:r>
        <w:rPr>
          <w:rFonts w:hint="eastAsia" w:asciiTheme="minorEastAsia" w:hAnsiTheme="minorEastAsia" w:eastAsiaTheme="minorEastAsia" w:cstheme="minorEastAsia"/>
          <w:b w:val="0"/>
          <w:bCs w:val="0"/>
          <w:sz w:val="28"/>
          <w:szCs w:val="28"/>
        </w:rPr>
        <w:t>河北省怀来县妇幼保健计划生育服务中心</w:t>
      </w:r>
      <w:r>
        <w:rPr>
          <w:rFonts w:hint="eastAsia" w:asciiTheme="minorEastAsia" w:hAnsiTheme="minorEastAsia" w:eastAsiaTheme="minorEastAsia" w:cstheme="minorEastAsia"/>
          <w:color w:val="333333"/>
          <w:sz w:val="28"/>
          <w:szCs w:val="28"/>
        </w:rPr>
        <w:t>针</w:t>
      </w:r>
      <w:r>
        <w:rPr>
          <w:rFonts w:hint="eastAsia"/>
          <w:color w:val="333333"/>
          <w:sz w:val="28"/>
          <w:szCs w:val="28"/>
        </w:rPr>
        <w:t>对国家妇女儿童健康目标和支持性目标的要求，协助卫生行政部门制定具体规划并牵头实施。提供计划生育技术服务，掌握全县计划生育技术服务的质量、存在问题、并发症及并发症发生乃至转归情况，负责开展婚前医学检查、优生咨询工作，掌握人口质量，为提高人口素质服务。负责全县妇女儿童保健和计划生育技术方面的健康教育工作，把一些自我保健知识和简单技术教给广大农村妇女，提高她们自我保健、与疾病和不卫生习惯作斗争的能力。负责全县妇幼卫生常规报告等统计信息的收集、整理、分析评价工作，为县卫生行政部门提供决策的依据，并同时报上一级妇幼保健院。负责培训计划的制定，根据本县妇幼卫生人员的实际业务水平和工作需要，开展岗位培训。</w:t>
      </w:r>
      <w:r>
        <w:rPr>
          <w:rFonts w:hint="eastAsia"/>
          <w:b/>
          <w:color w:val="333333"/>
          <w:sz w:val="28"/>
          <w:szCs w:val="28"/>
        </w:rPr>
        <w:t>正确指导农村的新法接生，努力创造条件，提高乡卫生院产科助产水平，改善产科住院及接生条件，提高住院</w:t>
      </w:r>
      <w:r>
        <w:rPr>
          <w:rFonts w:hint="eastAsia"/>
          <w:color w:val="333333"/>
          <w:sz w:val="28"/>
          <w:szCs w:val="28"/>
        </w:rPr>
        <w:t>分娩率，降低农村孕产妇死亡率。负责乡卫生院、中心乡卫生院产科的技术指导，开展产科质量、孕产妇死亡、儿童生长发育监测、计划生育技术事故的审评工作。负责乡镇企业及农村劳动妇女的保健工作，并监测女职工劳动保护规定的执行情况，及时向卫生行政部门反映。负责县、乡镇儿童入托、入学前健康体检及托幼机构保健人员的培训考核工作。</w:t>
      </w:r>
    </w:p>
    <w:p>
      <w:pPr>
        <w:pStyle w:val="6"/>
        <w:shd w:val="clear" w:color="auto" w:fill="FFFFFF"/>
        <w:spacing w:before="0" w:beforeAutospacing="0" w:after="0" w:afterAutospacing="0"/>
        <w:ind w:firstLine="390"/>
        <w:rPr>
          <w:rFonts w:ascii="仿宋" w:hAnsi="仿宋" w:eastAsia="仿宋" w:cs="Times New Roman"/>
          <w:b/>
          <w:sz w:val="32"/>
          <w:szCs w:val="32"/>
        </w:rPr>
      </w:pPr>
      <w:r>
        <w:rPr>
          <w:rFonts w:hint="eastAsia" w:ascii="仿宋" w:hAnsi="仿宋" w:eastAsia="仿宋" w:cs="Times New Roman"/>
          <w:b/>
          <w:sz w:val="32"/>
          <w:szCs w:val="32"/>
        </w:rPr>
        <w:t>机构设置：</w:t>
      </w:r>
    </w:p>
    <w:p>
      <w:pPr>
        <w:ind w:firstLine="640" w:firstLineChars="200"/>
        <w:rPr>
          <w:sz w:val="32"/>
          <w:szCs w:val="32"/>
        </w:rPr>
      </w:pPr>
      <w:r>
        <w:rPr>
          <w:rFonts w:hint="eastAsia"/>
          <w:sz w:val="32"/>
          <w:szCs w:val="32"/>
        </w:rPr>
        <w:t>单位现有职工58人,设有医务科,护办室,手术室,保健科,儿科,中医科,妇产科,化验室,B超室,药房,收费处,中药科,院长室,办公室,财务科,注射室,皮肤科,宣教科,康复科,计生科多个科室。</w:t>
      </w:r>
    </w:p>
    <w:p>
      <w:pPr>
        <w:jc w:val="center"/>
        <w:outlineLvl w:val="0"/>
        <w:rPr>
          <w:rFonts w:ascii="Times New Roman" w:hAnsi="Times New Roman" w:eastAsia="方正小标宋_GBK" w:cs="Times New Roman"/>
          <w:sz w:val="32"/>
          <w:szCs w:val="24"/>
        </w:rPr>
      </w:pPr>
      <w:r>
        <w:rPr>
          <w:rFonts w:ascii="Times New Roman" w:hAnsi="Times New Roman" w:eastAsia="方正小标宋_GBK" w:cs="Times New Roman"/>
          <w:sz w:val="32"/>
          <w:szCs w:val="24"/>
        </w:rPr>
        <w:t>部门</w:t>
      </w:r>
      <w:r>
        <w:rPr>
          <w:rFonts w:hint="eastAsia" w:ascii="Times New Roman" w:hAnsi="Times New Roman" w:eastAsia="方正小标宋_GBK" w:cs="Times New Roman"/>
          <w:sz w:val="32"/>
          <w:szCs w:val="24"/>
        </w:rPr>
        <w:t>机构设置情况</w:t>
      </w:r>
    </w:p>
    <w:tbl>
      <w:tblPr>
        <w:tblStyle w:val="7"/>
        <w:tblW w:w="97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417"/>
        <w:gridCol w:w="1134"/>
        <w:gridCol w:w="1276"/>
        <w:gridCol w:w="29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0" w:hRule="atLeast"/>
          <w:tblHeader/>
          <w:jc w:val="center"/>
        </w:trPr>
        <w:tc>
          <w:tcPr>
            <w:tcW w:w="4417" w:type="dxa"/>
            <w:vMerge w:val="restart"/>
            <w:vAlign w:val="center"/>
          </w:tcPr>
          <w:p>
            <w:pPr>
              <w:spacing w:line="300" w:lineRule="exact"/>
              <w:jc w:val="center"/>
              <w:rPr>
                <w:rFonts w:ascii="Times New Roman" w:hAnsi="Times New Roman" w:eastAsia="方正书宋_GBK" w:cs="Times New Roman"/>
                <w:b/>
                <w:szCs w:val="24"/>
              </w:rPr>
            </w:pPr>
            <w:r>
              <w:rPr>
                <w:rFonts w:ascii="Times New Roman" w:hAnsi="Times New Roman" w:eastAsia="方正书宋_GBK" w:cs="Times New Roman"/>
                <w:b/>
                <w:szCs w:val="24"/>
              </w:rPr>
              <w:t>单位名称</w:t>
            </w:r>
          </w:p>
        </w:tc>
        <w:tc>
          <w:tcPr>
            <w:tcW w:w="1134" w:type="dxa"/>
            <w:vMerge w:val="restart"/>
            <w:vAlign w:val="center"/>
          </w:tcPr>
          <w:p>
            <w:pPr>
              <w:spacing w:line="300" w:lineRule="exact"/>
              <w:jc w:val="center"/>
              <w:rPr>
                <w:rFonts w:ascii="Times New Roman" w:hAnsi="Times New Roman" w:eastAsia="方正书宋_GBK" w:cs="Times New Roman"/>
                <w:b/>
                <w:szCs w:val="24"/>
              </w:rPr>
            </w:pPr>
            <w:r>
              <w:rPr>
                <w:rFonts w:ascii="Times New Roman" w:hAnsi="Times New Roman" w:eastAsia="方正书宋_GBK" w:cs="Times New Roman"/>
                <w:b/>
                <w:szCs w:val="24"/>
              </w:rPr>
              <w:t>单位性质</w:t>
            </w:r>
          </w:p>
        </w:tc>
        <w:tc>
          <w:tcPr>
            <w:tcW w:w="1276" w:type="dxa"/>
            <w:vMerge w:val="restart"/>
            <w:vAlign w:val="center"/>
          </w:tcPr>
          <w:p>
            <w:pPr>
              <w:spacing w:line="300" w:lineRule="exact"/>
              <w:jc w:val="center"/>
              <w:rPr>
                <w:rFonts w:ascii="Times New Roman" w:hAnsi="Times New Roman" w:eastAsia="方正书宋_GBK" w:cs="Times New Roman"/>
                <w:b/>
                <w:szCs w:val="24"/>
              </w:rPr>
            </w:pPr>
            <w:r>
              <w:rPr>
                <w:rFonts w:ascii="Times New Roman" w:hAnsi="Times New Roman" w:eastAsia="方正书宋_GBK" w:cs="Times New Roman"/>
                <w:b/>
                <w:szCs w:val="24"/>
              </w:rPr>
              <w:t>单位规格</w:t>
            </w:r>
          </w:p>
        </w:tc>
        <w:tc>
          <w:tcPr>
            <w:tcW w:w="2902" w:type="dxa"/>
            <w:vMerge w:val="restart"/>
            <w:vAlign w:val="center"/>
          </w:tcPr>
          <w:p>
            <w:pPr>
              <w:spacing w:line="300" w:lineRule="exact"/>
              <w:jc w:val="center"/>
              <w:rPr>
                <w:rFonts w:ascii="Times New Roman" w:hAnsi="Times New Roman" w:eastAsia="方正书宋_GBK" w:cs="Times New Roman"/>
                <w:b/>
                <w:szCs w:val="24"/>
              </w:rPr>
            </w:pPr>
            <w:r>
              <w:rPr>
                <w:rFonts w:ascii="Times New Roman" w:hAnsi="Times New Roman" w:eastAsia="方正书宋_GBK" w:cs="Times New Roman"/>
                <w:b/>
                <w:szCs w:val="24"/>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0" w:hRule="atLeast"/>
          <w:tblHeader/>
          <w:jc w:val="center"/>
        </w:trPr>
        <w:tc>
          <w:tcPr>
            <w:tcW w:w="4417" w:type="dxa"/>
            <w:vMerge w:val="continue"/>
            <w:vAlign w:val="center"/>
          </w:tcPr>
          <w:p>
            <w:pPr>
              <w:spacing w:line="300" w:lineRule="exact"/>
              <w:jc w:val="left"/>
              <w:outlineLvl w:val="0"/>
              <w:rPr>
                <w:rFonts w:ascii="Times New Roman" w:hAnsi="Times New Roman" w:cs="Times New Roman"/>
                <w:szCs w:val="24"/>
              </w:rPr>
            </w:pPr>
          </w:p>
        </w:tc>
        <w:tc>
          <w:tcPr>
            <w:tcW w:w="1134" w:type="dxa"/>
            <w:vMerge w:val="continue"/>
            <w:vAlign w:val="center"/>
          </w:tcPr>
          <w:p>
            <w:pPr>
              <w:spacing w:line="300" w:lineRule="exact"/>
              <w:jc w:val="left"/>
              <w:outlineLvl w:val="0"/>
              <w:rPr>
                <w:rFonts w:ascii="Times New Roman" w:hAnsi="Times New Roman" w:cs="Times New Roman"/>
                <w:szCs w:val="24"/>
              </w:rPr>
            </w:pPr>
          </w:p>
        </w:tc>
        <w:tc>
          <w:tcPr>
            <w:tcW w:w="1276" w:type="dxa"/>
            <w:vMerge w:val="continue"/>
            <w:vAlign w:val="center"/>
          </w:tcPr>
          <w:p>
            <w:pPr>
              <w:spacing w:line="300" w:lineRule="exact"/>
              <w:jc w:val="left"/>
              <w:outlineLvl w:val="0"/>
              <w:rPr>
                <w:rFonts w:ascii="Times New Roman" w:hAnsi="Times New Roman" w:cs="Times New Roman"/>
                <w:szCs w:val="24"/>
              </w:rPr>
            </w:pPr>
          </w:p>
        </w:tc>
        <w:tc>
          <w:tcPr>
            <w:tcW w:w="2902" w:type="dxa"/>
            <w:vMerge w:val="continue"/>
            <w:vAlign w:val="center"/>
          </w:tcPr>
          <w:p>
            <w:pPr>
              <w:spacing w:line="300" w:lineRule="exact"/>
              <w:jc w:val="left"/>
              <w:outlineLvl w:val="0"/>
              <w:rPr>
                <w:rFonts w:ascii="Times New Roman" w:hAnsi="Times New Roman" w:cs="Times New Roman"/>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417" w:type="dxa"/>
            <w:vAlign w:val="center"/>
          </w:tcPr>
          <w:p>
            <w:pPr>
              <w:spacing w:line="300" w:lineRule="exact"/>
              <w:jc w:val="left"/>
              <w:rPr>
                <w:rFonts w:ascii="Times New Roman" w:hAnsi="Times New Roman" w:eastAsia="方正书宋_GBK" w:cs="Times New Roman"/>
                <w:szCs w:val="24"/>
              </w:rPr>
            </w:pPr>
            <w:r>
              <w:rPr>
                <w:rFonts w:hint="eastAsia" w:ascii="方正书宋_GBK" w:eastAsia="方正书宋_GBK"/>
              </w:rPr>
              <w:t>河北省怀来县妇幼保健计划生育服务中心</w:t>
            </w:r>
          </w:p>
        </w:tc>
        <w:tc>
          <w:tcPr>
            <w:tcW w:w="1134" w:type="dxa"/>
            <w:vAlign w:val="center"/>
          </w:tcPr>
          <w:p>
            <w:pPr>
              <w:spacing w:line="300" w:lineRule="exact"/>
              <w:jc w:val="center"/>
              <w:rPr>
                <w:rFonts w:ascii="Times New Roman" w:hAnsi="Times New Roman" w:eastAsia="方正书宋_GBK" w:cs="Times New Roman"/>
                <w:szCs w:val="24"/>
              </w:rPr>
            </w:pPr>
            <w:r>
              <w:rPr>
                <w:rFonts w:hint="eastAsia" w:ascii="方正书宋_GBK" w:eastAsia="方正书宋_GBK"/>
              </w:rPr>
              <w:t>事业</w:t>
            </w:r>
          </w:p>
        </w:tc>
        <w:tc>
          <w:tcPr>
            <w:tcW w:w="1276" w:type="dxa"/>
            <w:vAlign w:val="center"/>
          </w:tcPr>
          <w:p>
            <w:pPr>
              <w:spacing w:line="300" w:lineRule="exact"/>
              <w:jc w:val="center"/>
              <w:rPr>
                <w:rFonts w:ascii="Times New Roman" w:hAnsi="Times New Roman" w:eastAsia="方正书宋_GBK" w:cs="Times New Roman"/>
                <w:szCs w:val="24"/>
              </w:rPr>
            </w:pPr>
            <w:r>
              <w:rPr>
                <w:rFonts w:hint="eastAsia" w:ascii="方正书宋_GBK" w:eastAsia="方正书宋_GBK"/>
              </w:rPr>
              <w:t>股级</w:t>
            </w:r>
          </w:p>
        </w:tc>
        <w:tc>
          <w:tcPr>
            <w:tcW w:w="2902" w:type="dxa"/>
            <w:vAlign w:val="center"/>
          </w:tcPr>
          <w:p>
            <w:pPr>
              <w:spacing w:line="300" w:lineRule="exact"/>
              <w:jc w:val="center"/>
              <w:rPr>
                <w:rFonts w:ascii="Times New Roman" w:hAnsi="Times New Roman" w:eastAsia="方正书宋_GBK" w:cs="Times New Roman"/>
                <w:szCs w:val="24"/>
              </w:rPr>
            </w:pPr>
            <w:r>
              <w:rPr>
                <w:rFonts w:hint="eastAsia" w:ascii="方正书宋_GBK" w:eastAsia="方正书宋_GBK"/>
              </w:rPr>
              <w:t>财政拨款</w:t>
            </w:r>
          </w:p>
        </w:tc>
      </w:tr>
    </w:tbl>
    <w:p/>
    <w:p>
      <w:pPr>
        <w:ind w:firstLine="640"/>
        <w:rPr>
          <w:rFonts w:ascii="黑体" w:hAnsi="黑体" w:eastAsia="黑体" w:cs="Times New Roman"/>
          <w:sz w:val="32"/>
          <w:szCs w:val="32"/>
        </w:rPr>
      </w:pPr>
      <w:r>
        <w:rPr>
          <w:rFonts w:hint="eastAsia" w:ascii="黑体" w:hAnsi="黑体" w:eastAsia="黑体" w:cs="Times New Roman"/>
          <w:sz w:val="32"/>
          <w:szCs w:val="32"/>
        </w:rPr>
        <w:t>二、部门预算安排的总体情况</w:t>
      </w:r>
    </w:p>
    <w:p>
      <w:pPr>
        <w:ind w:firstLine="640"/>
        <w:rPr>
          <w:rFonts w:ascii="Times New Roman" w:hAnsi="Times New Roman" w:eastAsia="仿宋" w:cs="Times New Roman"/>
          <w:sz w:val="32"/>
          <w:szCs w:val="32"/>
        </w:rPr>
      </w:pPr>
      <w:r>
        <w:rPr>
          <w:rFonts w:ascii="Times New Roman" w:hAnsi="Times New Roman" w:eastAsia="仿宋" w:cs="Times New Roman"/>
          <w:sz w:val="32"/>
          <w:szCs w:val="32"/>
        </w:rPr>
        <w:t>按照预算管理有关规定，目前我省部门预算的编制实行综合预算制度，即全部收入和支出都反映</w:t>
      </w:r>
      <w:r>
        <w:rPr>
          <w:rFonts w:hint="eastAsia" w:ascii="Times New Roman" w:hAnsi="Times New Roman" w:eastAsia="仿宋" w:cs="Times New Roman"/>
          <w:sz w:val="32"/>
          <w:szCs w:val="32"/>
        </w:rPr>
        <w:t>在</w:t>
      </w:r>
      <w:r>
        <w:rPr>
          <w:rFonts w:ascii="Times New Roman" w:hAnsi="Times New Roman" w:eastAsia="仿宋" w:cs="Times New Roman"/>
          <w:sz w:val="32"/>
          <w:szCs w:val="32"/>
        </w:rPr>
        <w:t>预算中。河北省</w:t>
      </w:r>
      <w:r>
        <w:rPr>
          <w:rFonts w:hint="eastAsia" w:ascii="Times New Roman" w:hAnsi="Times New Roman" w:eastAsia="仿宋" w:cs="Times New Roman"/>
          <w:sz w:val="32"/>
          <w:szCs w:val="32"/>
        </w:rPr>
        <w:t>怀来县妇幼保健计划生育服务中心</w:t>
      </w:r>
      <w:r>
        <w:rPr>
          <w:rFonts w:ascii="Times New Roman" w:hAnsi="Times New Roman" w:eastAsia="仿宋" w:cs="Times New Roman"/>
          <w:sz w:val="32"/>
          <w:szCs w:val="32"/>
        </w:rPr>
        <w:t>的收支包含在部门预算中。</w:t>
      </w:r>
    </w:p>
    <w:p>
      <w:pPr>
        <w:ind w:firstLine="640"/>
        <w:rPr>
          <w:rFonts w:ascii="Times New Roman" w:hAnsi="Times New Roman" w:eastAsia="仿宋" w:cs="Times New Roman"/>
          <w:sz w:val="32"/>
          <w:szCs w:val="32"/>
        </w:rPr>
      </w:pPr>
      <w:r>
        <w:rPr>
          <w:rFonts w:hint="eastAsia" w:ascii="Times New Roman" w:hAnsi="Times New Roman" w:eastAsia="仿宋" w:cs="Times New Roman"/>
          <w:sz w:val="32"/>
          <w:szCs w:val="32"/>
        </w:rPr>
        <w:t>1、</w:t>
      </w:r>
      <w:r>
        <w:rPr>
          <w:rFonts w:ascii="Times New Roman" w:hAnsi="Times New Roman" w:eastAsia="仿宋" w:cs="Times New Roman"/>
          <w:sz w:val="32"/>
          <w:szCs w:val="32"/>
        </w:rPr>
        <w:t>收入说明</w:t>
      </w:r>
    </w:p>
    <w:p>
      <w:pPr>
        <w:ind w:firstLine="640"/>
        <w:rPr>
          <w:rFonts w:ascii="Times New Roman" w:hAnsi="Times New Roman" w:eastAsia="仿宋" w:cs="Times New Roman"/>
          <w:sz w:val="32"/>
          <w:szCs w:val="32"/>
        </w:rPr>
      </w:pPr>
      <w:r>
        <w:rPr>
          <w:rFonts w:hint="eastAsia" w:ascii="Times New Roman" w:hAnsi="Times New Roman" w:eastAsia="仿宋" w:cs="Times New Roman"/>
          <w:sz w:val="32"/>
          <w:szCs w:val="32"/>
        </w:rPr>
        <w:t>反应本部门当年全部收入。2018年预算收入402.01万元，其中：一般公共预算收入402.01万元，基金预算收入0万元，财政专户核拨收入0万元，其他来源收入0万元。</w:t>
      </w:r>
    </w:p>
    <w:p>
      <w:pPr>
        <w:ind w:firstLine="640"/>
        <w:rPr>
          <w:rFonts w:ascii="Times New Roman" w:hAnsi="Times New Roman" w:eastAsia="仿宋" w:cs="Times New Roman"/>
          <w:sz w:val="32"/>
          <w:szCs w:val="32"/>
        </w:rPr>
      </w:pPr>
      <w:r>
        <w:rPr>
          <w:rFonts w:hint="eastAsia" w:ascii="Times New Roman" w:hAnsi="Times New Roman" w:eastAsia="仿宋" w:cs="Times New Roman"/>
          <w:sz w:val="32"/>
          <w:szCs w:val="32"/>
        </w:rPr>
        <w:t>2、</w:t>
      </w:r>
      <w:r>
        <w:rPr>
          <w:rFonts w:ascii="Times New Roman" w:hAnsi="Times New Roman" w:eastAsia="仿宋" w:cs="Times New Roman"/>
          <w:sz w:val="32"/>
          <w:szCs w:val="32"/>
        </w:rPr>
        <w:t>支出说明</w:t>
      </w:r>
    </w:p>
    <w:p>
      <w:pPr>
        <w:ind w:firstLine="640"/>
        <w:rPr>
          <w:rFonts w:ascii="Times New Roman" w:hAnsi="Times New Roman" w:eastAsia="仿宋" w:cs="Times New Roman"/>
          <w:sz w:val="32"/>
          <w:szCs w:val="32"/>
        </w:rPr>
      </w:pPr>
      <w:r>
        <w:rPr>
          <w:rFonts w:hint="eastAsia" w:ascii="Times New Roman" w:hAnsi="Times New Roman" w:eastAsia="仿宋" w:cs="Times New Roman"/>
          <w:sz w:val="32"/>
          <w:szCs w:val="32"/>
        </w:rPr>
        <w:t>收支预算总表支出栏、基本支出表、项目支出表按经济分类和支出功能分类科目编制，反映河北省怀来县妇幼保健计划生育服务中心年度部门预算中支出预算的总体情况。2018年部门支出预算为402.01万元，其中基本支出399.01万元，包括人员经费389.01万元和日常公用经费10万元；项目支出3万元，主要为项目下乡支出3万元。</w:t>
      </w:r>
    </w:p>
    <w:p>
      <w:pPr>
        <w:ind w:firstLine="640"/>
        <w:rPr>
          <w:rFonts w:ascii="Times New Roman" w:hAnsi="Times New Roman" w:eastAsia="仿宋" w:cs="Times New Roman"/>
          <w:sz w:val="32"/>
          <w:szCs w:val="32"/>
        </w:rPr>
      </w:pPr>
      <w:r>
        <w:rPr>
          <w:rFonts w:hint="eastAsia" w:ascii="Times New Roman" w:hAnsi="Times New Roman" w:eastAsia="仿宋" w:cs="Times New Roman"/>
          <w:sz w:val="32"/>
          <w:szCs w:val="32"/>
        </w:rPr>
        <w:t>3、</w:t>
      </w:r>
      <w:r>
        <w:rPr>
          <w:rFonts w:ascii="Times New Roman" w:hAnsi="Times New Roman" w:eastAsia="仿宋" w:cs="Times New Roman"/>
          <w:sz w:val="32"/>
          <w:szCs w:val="32"/>
        </w:rPr>
        <w:t>比上年增减情况</w:t>
      </w:r>
    </w:p>
    <w:p>
      <w:pPr>
        <w:ind w:firstLine="640"/>
        <w:rPr>
          <w:rFonts w:ascii="Times New Roman" w:hAnsi="Times New Roman" w:eastAsia="仿宋" w:cs="Times New Roman"/>
          <w:sz w:val="32"/>
          <w:szCs w:val="32"/>
        </w:rPr>
      </w:pPr>
      <w:r>
        <w:rPr>
          <w:rFonts w:hint="eastAsia" w:ascii="Times New Roman" w:hAnsi="Times New Roman" w:eastAsia="仿宋" w:cs="Times New Roman"/>
          <w:sz w:val="32"/>
          <w:szCs w:val="32"/>
        </w:rPr>
        <w:t>2018年，部门预算收支安排402.01万元，较2017年减少225.05万元，其中：基本支出增长126.95万元，主要是增加人员经费；项目支出减少352万元，主要是由于没有预算业务返还项目经费。</w:t>
      </w:r>
    </w:p>
    <w:p>
      <w:pPr>
        <w:autoSpaceDE w:val="0"/>
        <w:autoSpaceDN w:val="0"/>
        <w:adjustRightInd w:val="0"/>
        <w:ind w:firstLine="960" w:firstLineChars="300"/>
        <w:jc w:val="left"/>
        <w:rPr>
          <w:rFonts w:ascii="黑体" w:hAnsi="黑体" w:eastAsia="黑体" w:cs="Times New Roman"/>
          <w:sz w:val="32"/>
          <w:szCs w:val="32"/>
        </w:rPr>
      </w:pPr>
      <w:r>
        <w:rPr>
          <w:rFonts w:hint="eastAsia" w:ascii="黑体" w:hAnsi="黑体" w:eastAsia="黑体" w:cs="Times New Roman"/>
          <w:sz w:val="32"/>
          <w:szCs w:val="32"/>
        </w:rPr>
        <w:t>三、机关运行经费安排情况</w:t>
      </w:r>
    </w:p>
    <w:p>
      <w:pPr>
        <w:autoSpaceDE w:val="0"/>
        <w:autoSpaceDN w:val="0"/>
        <w:adjustRightInd w:val="0"/>
        <w:ind w:left="198" w:firstLine="640" w:firstLineChars="200"/>
        <w:jc w:val="left"/>
        <w:rPr>
          <w:rFonts w:ascii="Times New Roman" w:hAnsi="Times New Roman" w:eastAsia="仿宋" w:cs="Times New Roman"/>
          <w:sz w:val="32"/>
          <w:szCs w:val="32"/>
        </w:rPr>
      </w:pPr>
      <w:r>
        <w:rPr>
          <w:rFonts w:hint="eastAsia" w:ascii="Times New Roman" w:hAnsi="Times New Roman" w:eastAsia="仿宋" w:cs="Times New Roman"/>
          <w:sz w:val="32"/>
          <w:szCs w:val="32"/>
        </w:rPr>
        <w:t>2018年，我部门机关运行经费共计安排10万元，主要用于保证机关正常运转的办公及印刷费、邮电费、差旅费、会议费、福利费、专用材料及一般设备购置费、办公用房水电费、办公用房取暖费、日常维修费、办公楼物业管理费、公务车运行维护费等支出。</w:t>
      </w:r>
    </w:p>
    <w:p>
      <w:pPr>
        <w:autoSpaceDE w:val="0"/>
        <w:autoSpaceDN w:val="0"/>
        <w:adjustRightInd w:val="0"/>
        <w:ind w:left="198" w:firstLine="640" w:firstLineChars="200"/>
        <w:jc w:val="left"/>
        <w:rPr>
          <w:rFonts w:ascii="黑体" w:hAnsi="黑体" w:eastAsia="黑体" w:cs="Times New Roman"/>
          <w:sz w:val="32"/>
          <w:szCs w:val="32"/>
        </w:rPr>
      </w:pPr>
      <w:r>
        <w:rPr>
          <w:rFonts w:hint="eastAsia" w:ascii="黑体" w:hAnsi="黑体" w:eastAsia="黑体" w:cs="Times New Roman"/>
          <w:sz w:val="32"/>
          <w:szCs w:val="32"/>
        </w:rPr>
        <w:t>四、财政拨款</w:t>
      </w:r>
      <w:r>
        <w:rPr>
          <w:rFonts w:ascii="黑体" w:hAnsi="黑体" w:eastAsia="黑体" w:cs="Times New Roman"/>
          <w:sz w:val="32"/>
          <w:szCs w:val="32"/>
        </w:rPr>
        <w:t>“</w:t>
      </w:r>
      <w:r>
        <w:rPr>
          <w:rFonts w:hint="eastAsia" w:ascii="黑体" w:hAnsi="黑体" w:eastAsia="黑体" w:cs="Times New Roman"/>
          <w:sz w:val="32"/>
          <w:szCs w:val="32"/>
        </w:rPr>
        <w:t>三公</w:t>
      </w:r>
      <w:r>
        <w:rPr>
          <w:rFonts w:ascii="黑体" w:hAnsi="黑体" w:eastAsia="黑体" w:cs="Times New Roman"/>
          <w:sz w:val="32"/>
          <w:szCs w:val="32"/>
        </w:rPr>
        <w:t>”</w:t>
      </w:r>
      <w:r>
        <w:rPr>
          <w:rFonts w:hint="eastAsia" w:ascii="黑体" w:hAnsi="黑体" w:eastAsia="黑体" w:cs="Times New Roman"/>
          <w:sz w:val="32"/>
          <w:szCs w:val="32"/>
        </w:rPr>
        <w:t>经费预算情况及增减变化原因</w:t>
      </w:r>
    </w:p>
    <w:p>
      <w:pPr>
        <w:autoSpaceDE w:val="0"/>
        <w:autoSpaceDN w:val="0"/>
        <w:adjustRightInd w:val="0"/>
        <w:ind w:left="198" w:firstLine="640" w:firstLineChars="200"/>
        <w:jc w:val="left"/>
        <w:rPr>
          <w:rFonts w:ascii="Times New Roman" w:hAnsi="Times New Roman" w:eastAsia="仿宋" w:cs="Times New Roman"/>
          <w:sz w:val="32"/>
          <w:szCs w:val="32"/>
        </w:rPr>
      </w:pPr>
      <w:r>
        <w:rPr>
          <w:rFonts w:hint="eastAsia" w:ascii="Times New Roman" w:hAnsi="Times New Roman" w:eastAsia="仿宋" w:cs="Times New Roman"/>
          <w:sz w:val="32"/>
          <w:szCs w:val="32"/>
        </w:rPr>
        <w:t>2018年，（我部门）财政拨款“三公”经费预算安排3.30万元，其中：公务用车购置及运维费3.30万元（其中：公务用车运行维护费3.30万元，公务用车购置费0万元)； “三公”经费比上年减少3.70万元。</w:t>
      </w:r>
    </w:p>
    <w:p>
      <w:pPr>
        <w:autoSpaceDE w:val="0"/>
        <w:autoSpaceDN w:val="0"/>
        <w:adjustRightInd w:val="0"/>
        <w:ind w:left="198" w:firstLine="640" w:firstLineChars="200"/>
        <w:jc w:val="left"/>
        <w:rPr>
          <w:rFonts w:ascii="黑体" w:hAnsi="黑体" w:eastAsia="黑体" w:cs="Times New Roman"/>
          <w:sz w:val="32"/>
          <w:szCs w:val="32"/>
        </w:rPr>
      </w:pPr>
      <w:r>
        <w:rPr>
          <w:rFonts w:hint="eastAsia" w:ascii="黑体" w:hAnsi="黑体" w:eastAsia="黑体" w:cs="Times New Roman"/>
          <w:sz w:val="32"/>
          <w:szCs w:val="32"/>
        </w:rPr>
        <w:t>五、绩效预算信息</w:t>
      </w:r>
    </w:p>
    <w:p>
      <w:pPr>
        <w:autoSpaceDE w:val="0"/>
        <w:autoSpaceDN w:val="0"/>
        <w:adjustRightInd w:val="0"/>
        <w:ind w:left="198" w:firstLine="643" w:firstLineChars="200"/>
        <w:jc w:val="left"/>
        <w:rPr>
          <w:rFonts w:ascii="Times New Roman" w:hAnsi="Times New Roman" w:eastAsia="仿宋" w:cs="Times New Roman"/>
          <w:b/>
          <w:sz w:val="32"/>
          <w:szCs w:val="32"/>
        </w:rPr>
      </w:pPr>
      <w:bookmarkStart w:id="0" w:name="_Toc471398463"/>
      <w:r>
        <w:rPr>
          <w:rFonts w:ascii="Times New Roman" w:hAnsi="Times New Roman" w:eastAsia="仿宋" w:cs="Times New Roman"/>
          <w:b/>
          <w:sz w:val="32"/>
          <w:szCs w:val="32"/>
        </w:rPr>
        <w:t>总体绩效目标：</w:t>
      </w:r>
    </w:p>
    <w:p>
      <w:pPr>
        <w:spacing w:line="300" w:lineRule="exact"/>
        <w:jc w:val="left"/>
        <w:rPr>
          <w:rFonts w:ascii="方正书宋_GBK" w:eastAsia="方正书宋_GBK"/>
          <w:b/>
          <w:sz w:val="32"/>
          <w:szCs w:val="32"/>
        </w:rPr>
      </w:pPr>
      <w:r>
        <w:rPr>
          <w:rFonts w:hint="eastAsia" w:ascii="方正书宋_GBK" w:eastAsia="方正书宋_GBK"/>
          <w:b/>
          <w:sz w:val="32"/>
          <w:szCs w:val="32"/>
        </w:rPr>
        <w:t>公共卫生服务</w:t>
      </w:r>
    </w:p>
    <w:p>
      <w:pPr>
        <w:spacing w:line="300" w:lineRule="exact"/>
        <w:ind w:firstLine="640" w:firstLineChars="200"/>
        <w:jc w:val="left"/>
        <w:rPr>
          <w:rFonts w:ascii="方正书宋_GBK" w:eastAsia="方正书宋_GBK"/>
          <w:sz w:val="32"/>
          <w:szCs w:val="32"/>
        </w:rPr>
      </w:pPr>
      <w:r>
        <w:rPr>
          <w:rFonts w:hint="eastAsia" w:ascii="方正书宋_GBK" w:eastAsia="方正书宋_GBK"/>
          <w:sz w:val="32"/>
          <w:szCs w:val="32"/>
        </w:rPr>
        <w:t>推进基本公共卫生服务均等化；控制各类重大疾病的发生与传播；有效应对我县突发公共卫生事件；保障妇女儿童身心健康；提高食品安全风险预警能力。</w:t>
      </w:r>
    </w:p>
    <w:p>
      <w:pPr>
        <w:pStyle w:val="13"/>
        <w:numPr>
          <w:ilvl w:val="0"/>
          <w:numId w:val="1"/>
        </w:numPr>
        <w:spacing w:line="300" w:lineRule="exact"/>
        <w:ind w:firstLineChars="0"/>
        <w:jc w:val="left"/>
        <w:rPr>
          <w:rFonts w:ascii="方正书宋_GBK" w:eastAsia="方正书宋_GBK"/>
          <w:b/>
          <w:sz w:val="32"/>
          <w:szCs w:val="32"/>
        </w:rPr>
      </w:pPr>
      <w:r>
        <w:rPr>
          <w:rFonts w:hint="eastAsia" w:ascii="方正书宋_GBK" w:eastAsia="方正书宋_GBK"/>
          <w:b/>
          <w:sz w:val="32"/>
          <w:szCs w:val="32"/>
        </w:rPr>
        <w:t>基本公共卫生服务</w:t>
      </w:r>
    </w:p>
    <w:p>
      <w:pPr>
        <w:spacing w:line="300" w:lineRule="exact"/>
        <w:ind w:left="422"/>
        <w:jc w:val="left"/>
        <w:rPr>
          <w:rFonts w:ascii="方正书宋_GBK" w:eastAsia="方正书宋_GBK"/>
          <w:sz w:val="32"/>
          <w:szCs w:val="32"/>
        </w:rPr>
      </w:pPr>
      <w:r>
        <w:rPr>
          <w:rFonts w:hint="eastAsia" w:ascii="方正书宋_GBK" w:eastAsia="方正书宋_GBK"/>
          <w:sz w:val="32"/>
          <w:szCs w:val="32"/>
        </w:rPr>
        <w:t>对城乡居民健康实行干预，减少危害健康的因素，有效预防传染病及慢性病，使其享有平等的基本卫生服务。</w:t>
      </w:r>
    </w:p>
    <w:p>
      <w:pPr>
        <w:pStyle w:val="13"/>
        <w:numPr>
          <w:ilvl w:val="0"/>
          <w:numId w:val="1"/>
        </w:numPr>
        <w:spacing w:line="300" w:lineRule="exact"/>
        <w:ind w:firstLineChars="0"/>
        <w:jc w:val="left"/>
        <w:rPr>
          <w:rFonts w:ascii="方正书宋_GBK" w:eastAsia="方正书宋_GBK"/>
          <w:b/>
          <w:sz w:val="32"/>
          <w:szCs w:val="32"/>
        </w:rPr>
      </w:pPr>
      <w:r>
        <w:rPr>
          <w:rFonts w:hint="eastAsia" w:ascii="方正书宋_GBK" w:eastAsia="方正书宋_GBK"/>
          <w:b/>
          <w:sz w:val="32"/>
          <w:szCs w:val="32"/>
        </w:rPr>
        <w:t>妇幼卫生</w:t>
      </w:r>
    </w:p>
    <w:p>
      <w:pPr>
        <w:spacing w:line="300" w:lineRule="exact"/>
        <w:ind w:left="422"/>
        <w:jc w:val="left"/>
        <w:rPr>
          <w:rFonts w:ascii="方正书宋_GBK" w:eastAsia="方正书宋_GBK"/>
          <w:sz w:val="32"/>
          <w:szCs w:val="32"/>
        </w:rPr>
      </w:pPr>
      <w:r>
        <w:rPr>
          <w:rFonts w:hint="eastAsia" w:ascii="方正书宋_GBK" w:eastAsia="方正书宋_GBK"/>
          <w:sz w:val="32"/>
          <w:szCs w:val="32"/>
        </w:rPr>
        <w:t>提高妇女儿童健康水平和出生人口素质。</w:t>
      </w:r>
    </w:p>
    <w:p>
      <w:pPr>
        <w:autoSpaceDE w:val="0"/>
        <w:autoSpaceDN w:val="0"/>
        <w:adjustRightInd w:val="0"/>
        <w:ind w:left="198" w:firstLine="643" w:firstLineChars="200"/>
        <w:jc w:val="left"/>
        <w:rPr>
          <w:rFonts w:ascii="Times New Roman" w:hAnsi="Times New Roman" w:eastAsia="仿宋" w:cs="Times New Roman"/>
          <w:b/>
          <w:sz w:val="32"/>
          <w:szCs w:val="32"/>
        </w:rPr>
      </w:pPr>
      <w:r>
        <w:rPr>
          <w:rFonts w:hint="eastAsia" w:ascii="Times New Roman" w:hAnsi="Times New Roman" w:eastAsia="仿宋" w:cs="Times New Roman"/>
          <w:b/>
          <w:sz w:val="32"/>
          <w:szCs w:val="32"/>
        </w:rPr>
        <w:t>职责分类绩效目标：</w:t>
      </w:r>
    </w:p>
    <w:p>
      <w:pPr>
        <w:pStyle w:val="13"/>
        <w:autoSpaceDE w:val="0"/>
        <w:autoSpaceDN w:val="0"/>
        <w:adjustRightInd w:val="0"/>
        <w:ind w:left="1429" w:firstLine="0" w:firstLineChars="0"/>
        <w:jc w:val="left"/>
        <w:rPr>
          <w:rFonts w:ascii="Times New Roman" w:hAnsi="Times New Roman" w:eastAsia="仿宋" w:cs="Times New Roman"/>
          <w:sz w:val="32"/>
          <w:szCs w:val="32"/>
        </w:rPr>
      </w:pPr>
      <w:r>
        <w:rPr>
          <w:rFonts w:hint="eastAsia" w:ascii="Times New Roman" w:hAnsi="Times New Roman" w:eastAsia="仿宋" w:cs="Times New Roman"/>
          <w:sz w:val="32"/>
          <w:szCs w:val="32"/>
        </w:rPr>
        <w:t>一、妇幼保健管理</w:t>
      </w:r>
    </w:p>
    <w:p>
      <w:pPr>
        <w:pStyle w:val="13"/>
        <w:numPr>
          <w:ilvl w:val="0"/>
          <w:numId w:val="2"/>
        </w:numPr>
        <w:autoSpaceDE w:val="0"/>
        <w:autoSpaceDN w:val="0"/>
        <w:adjustRightInd w:val="0"/>
        <w:ind w:firstLineChars="0"/>
        <w:jc w:val="left"/>
        <w:rPr>
          <w:rFonts w:ascii="Times New Roman" w:hAnsi="Times New Roman" w:eastAsia="仿宋" w:cs="Times New Roman"/>
          <w:sz w:val="32"/>
          <w:szCs w:val="32"/>
        </w:rPr>
      </w:pPr>
      <w:r>
        <w:rPr>
          <w:rFonts w:hint="eastAsia" w:ascii="Times New Roman" w:hAnsi="Times New Roman" w:eastAsia="仿宋" w:cs="Times New Roman"/>
          <w:sz w:val="32"/>
          <w:szCs w:val="32"/>
        </w:rPr>
        <w:t>加强妇幼卫生法律、法规的贯彻落实，规范妇幼保健服务。</w:t>
      </w:r>
    </w:p>
    <w:p>
      <w:pPr>
        <w:autoSpaceDE w:val="0"/>
        <w:autoSpaceDN w:val="0"/>
        <w:adjustRightInd w:val="0"/>
        <w:ind w:left="198" w:firstLine="640" w:firstLineChars="200"/>
        <w:jc w:val="left"/>
        <w:rPr>
          <w:rFonts w:ascii="Times New Roman" w:hAnsi="Times New Roman" w:eastAsia="仿宋" w:cs="Times New Roman"/>
          <w:sz w:val="32"/>
          <w:szCs w:val="32"/>
        </w:rPr>
      </w:pPr>
      <w:r>
        <w:rPr>
          <w:rFonts w:hint="eastAsia" w:ascii="Times New Roman" w:hAnsi="Times New Roman" w:eastAsia="仿宋" w:cs="Times New Roman"/>
          <w:sz w:val="32"/>
          <w:szCs w:val="32"/>
        </w:rPr>
        <w:t>2、强化《出生医学证明》发放的监管工作，确保全县无违规签发《出生医学证明》事件发生。</w:t>
      </w:r>
    </w:p>
    <w:p>
      <w:pPr>
        <w:autoSpaceDE w:val="0"/>
        <w:autoSpaceDN w:val="0"/>
        <w:adjustRightInd w:val="0"/>
        <w:ind w:left="198" w:firstLine="640" w:firstLineChars="200"/>
        <w:jc w:val="left"/>
        <w:rPr>
          <w:rFonts w:ascii="Times New Roman" w:hAnsi="Times New Roman" w:eastAsia="仿宋" w:cs="Times New Roman"/>
          <w:sz w:val="32"/>
          <w:szCs w:val="32"/>
        </w:rPr>
      </w:pPr>
      <w:r>
        <w:rPr>
          <w:rFonts w:hint="eastAsia" w:ascii="Times New Roman" w:hAnsi="Times New Roman" w:eastAsia="仿宋" w:cs="Times New Roman"/>
          <w:sz w:val="32"/>
          <w:szCs w:val="32"/>
        </w:rPr>
        <w:t>3、依法规范妇幼卫生技术服务，开展妇女常见疾病防治工作。</w:t>
      </w:r>
    </w:p>
    <w:p>
      <w:pPr>
        <w:autoSpaceDE w:val="0"/>
        <w:autoSpaceDN w:val="0"/>
        <w:adjustRightInd w:val="0"/>
        <w:ind w:left="198" w:firstLine="640" w:firstLineChars="200"/>
        <w:jc w:val="left"/>
        <w:rPr>
          <w:rFonts w:ascii="Times New Roman" w:hAnsi="Times New Roman" w:eastAsia="仿宋" w:cs="Times New Roman"/>
          <w:sz w:val="32"/>
          <w:szCs w:val="32"/>
        </w:rPr>
      </w:pPr>
      <w:r>
        <w:rPr>
          <w:rFonts w:hint="eastAsia" w:ascii="Times New Roman" w:hAnsi="Times New Roman" w:eastAsia="仿宋" w:cs="Times New Roman"/>
          <w:sz w:val="32"/>
          <w:szCs w:val="32"/>
        </w:rPr>
        <w:t>4、贯彻落实《新生儿疾病筛查管理办法》，规范新生儿疾病筛查、诊断和诊疗。</w:t>
      </w:r>
    </w:p>
    <w:p>
      <w:pPr>
        <w:autoSpaceDE w:val="0"/>
        <w:autoSpaceDN w:val="0"/>
        <w:adjustRightInd w:val="0"/>
        <w:ind w:left="198" w:firstLine="640" w:firstLineChars="200"/>
        <w:jc w:val="left"/>
        <w:rPr>
          <w:rFonts w:ascii="Times New Roman" w:hAnsi="Times New Roman" w:eastAsia="仿宋" w:cs="Times New Roman"/>
          <w:sz w:val="32"/>
          <w:szCs w:val="32"/>
        </w:rPr>
      </w:pPr>
      <w:r>
        <w:rPr>
          <w:rFonts w:hint="eastAsia" w:ascii="Times New Roman" w:hAnsi="Times New Roman" w:eastAsia="仿宋" w:cs="Times New Roman"/>
          <w:sz w:val="32"/>
          <w:szCs w:val="32"/>
        </w:rPr>
        <w:t>二、两个系统管理</w:t>
      </w:r>
    </w:p>
    <w:p>
      <w:pPr>
        <w:autoSpaceDE w:val="0"/>
        <w:autoSpaceDN w:val="0"/>
        <w:adjustRightInd w:val="0"/>
        <w:ind w:left="198" w:firstLine="640" w:firstLineChars="200"/>
        <w:jc w:val="left"/>
        <w:rPr>
          <w:rFonts w:ascii="Times New Roman" w:hAnsi="Times New Roman" w:eastAsia="仿宋" w:cs="Times New Roman"/>
          <w:sz w:val="32"/>
          <w:szCs w:val="32"/>
        </w:rPr>
      </w:pPr>
      <w:r>
        <w:rPr>
          <w:rFonts w:hint="eastAsia" w:ascii="Times New Roman" w:hAnsi="Times New Roman" w:eastAsia="仿宋" w:cs="Times New Roman"/>
          <w:sz w:val="32"/>
          <w:szCs w:val="32"/>
        </w:rPr>
        <w:t>5、继续抓好建卡管理，提高妇幼保健工作水平。</w:t>
      </w:r>
    </w:p>
    <w:p>
      <w:pPr>
        <w:autoSpaceDE w:val="0"/>
        <w:autoSpaceDN w:val="0"/>
        <w:adjustRightInd w:val="0"/>
        <w:ind w:left="198" w:firstLine="640" w:firstLineChars="200"/>
        <w:jc w:val="left"/>
        <w:rPr>
          <w:rFonts w:ascii="Times New Roman" w:hAnsi="Times New Roman" w:eastAsia="仿宋" w:cs="Times New Roman"/>
          <w:sz w:val="32"/>
          <w:szCs w:val="32"/>
        </w:rPr>
      </w:pPr>
      <w:r>
        <w:rPr>
          <w:rFonts w:hint="eastAsia" w:ascii="Times New Roman" w:hAnsi="Times New Roman" w:eastAsia="仿宋" w:cs="Times New Roman"/>
          <w:sz w:val="32"/>
          <w:szCs w:val="32"/>
        </w:rPr>
        <w:t>6、加强管理，扩大覆盖面，确保全县妇女、儿童系统管理率达标。</w:t>
      </w:r>
    </w:p>
    <w:p>
      <w:pPr>
        <w:autoSpaceDE w:val="0"/>
        <w:autoSpaceDN w:val="0"/>
        <w:adjustRightInd w:val="0"/>
        <w:ind w:left="198" w:firstLine="640" w:firstLineChars="200"/>
        <w:jc w:val="left"/>
        <w:rPr>
          <w:rFonts w:ascii="Times New Roman" w:hAnsi="Times New Roman" w:eastAsia="仿宋" w:cs="Times New Roman"/>
          <w:sz w:val="32"/>
          <w:szCs w:val="32"/>
        </w:rPr>
      </w:pPr>
      <w:r>
        <w:rPr>
          <w:rFonts w:hint="eastAsia" w:ascii="Times New Roman" w:hAnsi="Times New Roman" w:eastAsia="仿宋" w:cs="Times New Roman"/>
          <w:sz w:val="32"/>
          <w:szCs w:val="32"/>
        </w:rPr>
        <w:t>三、妇幼保健技术指导</w:t>
      </w:r>
    </w:p>
    <w:p>
      <w:pPr>
        <w:autoSpaceDE w:val="0"/>
        <w:autoSpaceDN w:val="0"/>
        <w:adjustRightInd w:val="0"/>
        <w:ind w:left="198" w:firstLine="640" w:firstLineChars="200"/>
        <w:jc w:val="left"/>
        <w:rPr>
          <w:rFonts w:ascii="Times New Roman" w:hAnsi="Times New Roman" w:eastAsia="仿宋" w:cs="Times New Roman"/>
          <w:sz w:val="32"/>
          <w:szCs w:val="32"/>
        </w:rPr>
      </w:pPr>
      <w:r>
        <w:rPr>
          <w:rFonts w:hint="eastAsia" w:ascii="Times New Roman" w:hAnsi="Times New Roman" w:eastAsia="仿宋" w:cs="Times New Roman"/>
          <w:sz w:val="32"/>
          <w:szCs w:val="32"/>
        </w:rPr>
        <w:t>7、加强基层妇幼保健人员培训，提高服务质量。</w:t>
      </w:r>
    </w:p>
    <w:p>
      <w:pPr>
        <w:autoSpaceDE w:val="0"/>
        <w:autoSpaceDN w:val="0"/>
        <w:adjustRightInd w:val="0"/>
        <w:ind w:left="198" w:firstLine="640" w:firstLineChars="200"/>
        <w:jc w:val="left"/>
        <w:rPr>
          <w:rFonts w:ascii="Times New Roman" w:hAnsi="Times New Roman" w:eastAsia="仿宋" w:cs="Times New Roman"/>
          <w:sz w:val="32"/>
          <w:szCs w:val="32"/>
        </w:rPr>
      </w:pPr>
      <w:r>
        <w:rPr>
          <w:rFonts w:hint="eastAsia" w:ascii="Times New Roman" w:hAnsi="Times New Roman" w:eastAsia="仿宋" w:cs="Times New Roman"/>
          <w:sz w:val="32"/>
          <w:szCs w:val="32"/>
        </w:rPr>
        <w:t>8、全年完成对乡村妇幼保健工作技术指导次数。</w:t>
      </w:r>
    </w:p>
    <w:p>
      <w:pPr>
        <w:autoSpaceDE w:val="0"/>
        <w:autoSpaceDN w:val="0"/>
        <w:adjustRightInd w:val="0"/>
        <w:ind w:left="198" w:firstLine="640" w:firstLineChars="200"/>
        <w:jc w:val="left"/>
        <w:rPr>
          <w:rFonts w:ascii="Times New Roman" w:hAnsi="Times New Roman" w:eastAsia="仿宋" w:cs="Times New Roman"/>
          <w:sz w:val="32"/>
          <w:szCs w:val="32"/>
        </w:rPr>
      </w:pPr>
      <w:r>
        <w:rPr>
          <w:rFonts w:hint="eastAsia" w:ascii="Times New Roman" w:hAnsi="Times New Roman" w:eastAsia="仿宋" w:cs="Times New Roman"/>
          <w:sz w:val="32"/>
          <w:szCs w:val="32"/>
        </w:rPr>
        <w:t>9、</w:t>
      </w:r>
      <w:r>
        <w:rPr>
          <w:rFonts w:ascii="微软雅黑" w:hAnsi="微软雅黑"/>
          <w:color w:val="000000"/>
          <w:sz w:val="28"/>
          <w:szCs w:val="28"/>
          <w:shd w:val="clear" w:color="auto" w:fill="F5FAFE"/>
        </w:rPr>
        <w:t>各种卡片、档案、资料及时收集汇总，管理规范</w:t>
      </w:r>
      <w:r>
        <w:rPr>
          <w:rFonts w:hint="eastAsia" w:ascii="微软雅黑" w:hAnsi="微软雅黑"/>
          <w:color w:val="000000"/>
          <w:sz w:val="28"/>
          <w:szCs w:val="28"/>
          <w:shd w:val="clear" w:color="auto" w:fill="F5FAFE"/>
        </w:rPr>
        <w:t>.</w:t>
      </w:r>
    </w:p>
    <w:p>
      <w:pPr>
        <w:autoSpaceDE w:val="0"/>
        <w:autoSpaceDN w:val="0"/>
        <w:adjustRightInd w:val="0"/>
        <w:ind w:left="198" w:firstLine="643" w:firstLineChars="200"/>
        <w:jc w:val="left"/>
        <w:rPr>
          <w:rFonts w:ascii="Times New Roman" w:hAnsi="Times New Roman" w:eastAsia="仿宋" w:cs="Times New Roman"/>
          <w:b/>
          <w:sz w:val="32"/>
          <w:szCs w:val="32"/>
        </w:rPr>
      </w:pPr>
      <w:r>
        <w:rPr>
          <w:rFonts w:hint="eastAsia" w:ascii="Times New Roman" w:hAnsi="Times New Roman" w:eastAsia="仿宋" w:cs="Times New Roman"/>
          <w:b/>
          <w:sz w:val="32"/>
          <w:szCs w:val="32"/>
        </w:rPr>
        <w:t>部门职责及工作活动绩效目标指标：</w:t>
      </w:r>
      <w:bookmarkEnd w:id="0"/>
    </w:p>
    <w:p>
      <w:pPr>
        <w:ind w:firstLine="4160" w:firstLineChars="1300"/>
        <w:outlineLvl w:val="0"/>
        <w:rPr>
          <w:rFonts w:ascii="方正小标宋_GBK" w:eastAsia="方正小标宋_GBK"/>
          <w:sz w:val="32"/>
        </w:rPr>
      </w:pPr>
      <w:bookmarkStart w:id="1" w:name="_Toc503971524"/>
      <w:r>
        <w:rPr>
          <w:rFonts w:hint="eastAsia" w:ascii="方正小标宋_GBK" w:eastAsia="方正小标宋_GBK"/>
          <w:sz w:val="32"/>
        </w:rPr>
        <w:t>部门职责-工作活动绩效目标</w:t>
      </w:r>
      <w:bookmarkEnd w:id="1"/>
    </w:p>
    <w:tbl>
      <w:tblPr>
        <w:tblStyle w:val="7"/>
        <w:tblW w:w="1393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41"/>
        <w:gridCol w:w="1276"/>
        <w:gridCol w:w="2976"/>
        <w:gridCol w:w="2976"/>
        <w:gridCol w:w="1417"/>
        <w:gridCol w:w="737"/>
        <w:gridCol w:w="737"/>
        <w:gridCol w:w="737"/>
        <w:gridCol w:w="73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0986" w:type="dxa"/>
            <w:gridSpan w:val="5"/>
            <w:tcBorders>
              <w:top w:val="single" w:color="FFFFFF" w:sz="6" w:space="0"/>
              <w:left w:val="single" w:color="FFFFFF" w:sz="6" w:space="0"/>
              <w:right w:val="single" w:color="FFFFFF" w:sz="6" w:space="0"/>
            </w:tcBorders>
            <w:vAlign w:val="center"/>
          </w:tcPr>
          <w:p>
            <w:pPr>
              <w:spacing w:line="300" w:lineRule="exact"/>
              <w:jc w:val="left"/>
              <w:rPr>
                <w:rFonts w:ascii="方正小标宋_GBK" w:eastAsia="方正小标宋_GBK"/>
                <w:sz w:val="24"/>
              </w:rPr>
            </w:pPr>
            <w:r>
              <w:rPr>
                <w:rFonts w:hint="eastAsia" w:ascii="方正小标宋_GBK" w:eastAsia="方正小标宋_GBK"/>
                <w:sz w:val="24"/>
              </w:rPr>
              <w:t>361003怀来县妇幼保健计划生育服务中心</w:t>
            </w:r>
          </w:p>
        </w:tc>
        <w:tc>
          <w:tcPr>
            <w:tcW w:w="2948" w:type="dxa"/>
            <w:gridSpan w:val="4"/>
            <w:tcBorders>
              <w:top w:val="single" w:color="FFFFFF" w:sz="6" w:space="0"/>
              <w:left w:val="single" w:color="FFFFFF" w:sz="6" w:space="0"/>
              <w:right w:val="single" w:color="FFFFFF" w:sz="6" w:space="0"/>
            </w:tcBorders>
            <w:vAlign w:val="center"/>
          </w:tcPr>
          <w:p>
            <w:pPr>
              <w:spacing w:line="300" w:lineRule="exact"/>
              <w:jc w:val="right"/>
              <w:rPr>
                <w:rFonts w:ascii="方正书宋_GBK" w:eastAsia="方正书宋_GBK"/>
                <w:sz w:val="24"/>
              </w:rPr>
            </w:pPr>
            <w:r>
              <w:rPr>
                <w:rFonts w:hint="eastAsia" w:ascii="方正书宋_GBK" w:eastAsia="方正书宋_GBK"/>
                <w:sz w:val="24"/>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2341" w:type="dxa"/>
            <w:vMerge w:val="restart"/>
            <w:vAlign w:val="center"/>
          </w:tcPr>
          <w:p>
            <w:pPr>
              <w:spacing w:line="300" w:lineRule="exact"/>
              <w:jc w:val="center"/>
              <w:rPr>
                <w:rFonts w:ascii="方正书宋_GBK" w:eastAsia="方正书宋_GBK"/>
                <w:b/>
              </w:rPr>
            </w:pPr>
            <w:r>
              <w:rPr>
                <w:rFonts w:hint="eastAsia" w:ascii="方正书宋_GBK" w:eastAsia="方正书宋_GBK"/>
                <w:b/>
              </w:rPr>
              <w:t>职责活动</w:t>
            </w:r>
          </w:p>
        </w:tc>
        <w:tc>
          <w:tcPr>
            <w:tcW w:w="1276" w:type="dxa"/>
            <w:vMerge w:val="restart"/>
            <w:vAlign w:val="center"/>
          </w:tcPr>
          <w:p>
            <w:pPr>
              <w:spacing w:line="300" w:lineRule="exact"/>
              <w:jc w:val="center"/>
              <w:rPr>
                <w:rFonts w:ascii="方正书宋_GBK" w:eastAsia="方正书宋_GBK"/>
                <w:b/>
              </w:rPr>
            </w:pPr>
            <w:r>
              <w:rPr>
                <w:rFonts w:hint="eastAsia" w:ascii="方正书宋_GBK" w:eastAsia="方正书宋_GBK"/>
                <w:b/>
              </w:rPr>
              <w:t>年度预算数</w:t>
            </w:r>
          </w:p>
        </w:tc>
        <w:tc>
          <w:tcPr>
            <w:tcW w:w="2976" w:type="dxa"/>
            <w:vMerge w:val="restart"/>
            <w:vAlign w:val="center"/>
          </w:tcPr>
          <w:p>
            <w:pPr>
              <w:spacing w:line="300" w:lineRule="exact"/>
              <w:jc w:val="center"/>
              <w:rPr>
                <w:rFonts w:ascii="方正书宋_GBK" w:eastAsia="方正书宋_GBK"/>
                <w:b/>
              </w:rPr>
            </w:pPr>
            <w:r>
              <w:rPr>
                <w:rFonts w:hint="eastAsia" w:ascii="方正书宋_GBK" w:eastAsia="方正书宋_GBK"/>
                <w:b/>
              </w:rPr>
              <w:t>内容描述</w:t>
            </w:r>
          </w:p>
        </w:tc>
        <w:tc>
          <w:tcPr>
            <w:tcW w:w="2976" w:type="dxa"/>
            <w:vMerge w:val="restart"/>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1417" w:type="dxa"/>
            <w:vMerge w:val="restart"/>
            <w:vAlign w:val="center"/>
          </w:tcPr>
          <w:p>
            <w:pPr>
              <w:spacing w:line="300" w:lineRule="exact"/>
              <w:jc w:val="center"/>
              <w:rPr>
                <w:rFonts w:ascii="方正书宋_GBK" w:eastAsia="方正书宋_GBK"/>
                <w:b/>
              </w:rPr>
            </w:pPr>
            <w:r>
              <w:rPr>
                <w:rFonts w:hint="eastAsia" w:ascii="方正书宋_GBK" w:eastAsia="方正书宋_GBK"/>
                <w:b/>
              </w:rPr>
              <w:t>绩效指标</w:t>
            </w:r>
          </w:p>
        </w:tc>
        <w:tc>
          <w:tcPr>
            <w:tcW w:w="2948" w:type="dxa"/>
            <w:gridSpan w:val="4"/>
            <w:vAlign w:val="center"/>
          </w:tcPr>
          <w:p>
            <w:pPr>
              <w:spacing w:line="300" w:lineRule="exact"/>
              <w:jc w:val="center"/>
              <w:rPr>
                <w:rFonts w:ascii="方正书宋_GBK" w:eastAsia="方正书宋_GBK"/>
                <w:b/>
              </w:rPr>
            </w:pPr>
            <w:r>
              <w:rPr>
                <w:rFonts w:hint="eastAsia" w:ascii="方正书宋_GBK" w:eastAsia="方正书宋_GBK"/>
                <w:b/>
              </w:rPr>
              <w:t>评价标准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2341" w:type="dxa"/>
            <w:vMerge w:val="continue"/>
            <w:vAlign w:val="center"/>
          </w:tcPr>
          <w:p>
            <w:pPr>
              <w:spacing w:line="300" w:lineRule="exact"/>
              <w:jc w:val="left"/>
              <w:outlineLvl w:val="0"/>
            </w:pPr>
          </w:p>
        </w:tc>
        <w:tc>
          <w:tcPr>
            <w:tcW w:w="1276" w:type="dxa"/>
            <w:vMerge w:val="continue"/>
            <w:vAlign w:val="center"/>
          </w:tcPr>
          <w:p>
            <w:pPr>
              <w:spacing w:line="300" w:lineRule="exact"/>
              <w:jc w:val="left"/>
              <w:outlineLvl w:val="0"/>
            </w:pPr>
          </w:p>
        </w:tc>
        <w:tc>
          <w:tcPr>
            <w:tcW w:w="2976" w:type="dxa"/>
            <w:vMerge w:val="continue"/>
            <w:vAlign w:val="center"/>
          </w:tcPr>
          <w:p>
            <w:pPr>
              <w:spacing w:line="300" w:lineRule="exact"/>
              <w:jc w:val="left"/>
              <w:outlineLvl w:val="0"/>
            </w:pPr>
          </w:p>
        </w:tc>
        <w:tc>
          <w:tcPr>
            <w:tcW w:w="2976" w:type="dxa"/>
            <w:vMerge w:val="continue"/>
            <w:vAlign w:val="center"/>
          </w:tcPr>
          <w:p>
            <w:pPr>
              <w:spacing w:line="300" w:lineRule="exact"/>
              <w:jc w:val="left"/>
              <w:outlineLvl w:val="0"/>
            </w:pPr>
          </w:p>
        </w:tc>
        <w:tc>
          <w:tcPr>
            <w:tcW w:w="1417" w:type="dxa"/>
            <w:vMerge w:val="continue"/>
            <w:vAlign w:val="center"/>
          </w:tcPr>
          <w:p>
            <w:pPr>
              <w:spacing w:line="300" w:lineRule="exact"/>
              <w:jc w:val="left"/>
              <w:outlineLvl w:val="0"/>
            </w:pPr>
          </w:p>
        </w:tc>
        <w:tc>
          <w:tcPr>
            <w:tcW w:w="737" w:type="dxa"/>
            <w:vAlign w:val="center"/>
          </w:tcPr>
          <w:p>
            <w:pPr>
              <w:spacing w:line="300" w:lineRule="exact"/>
              <w:jc w:val="center"/>
              <w:rPr>
                <w:rFonts w:ascii="方正书宋_GBK" w:eastAsia="方正书宋_GBK"/>
                <w:b/>
              </w:rPr>
            </w:pPr>
            <w:r>
              <w:rPr>
                <w:rFonts w:hint="eastAsia" w:ascii="方正书宋_GBK" w:eastAsia="方正书宋_GBK"/>
                <w:b/>
              </w:rPr>
              <w:t>优</w:t>
            </w:r>
          </w:p>
        </w:tc>
        <w:tc>
          <w:tcPr>
            <w:tcW w:w="737" w:type="dxa"/>
            <w:vAlign w:val="center"/>
          </w:tcPr>
          <w:p>
            <w:pPr>
              <w:spacing w:line="300" w:lineRule="exact"/>
              <w:jc w:val="center"/>
              <w:rPr>
                <w:rFonts w:ascii="方正书宋_GBK" w:eastAsia="方正书宋_GBK"/>
                <w:b/>
              </w:rPr>
            </w:pPr>
            <w:r>
              <w:rPr>
                <w:rFonts w:hint="eastAsia" w:ascii="方正书宋_GBK" w:eastAsia="方正书宋_GBK"/>
                <w:b/>
              </w:rPr>
              <w:t>良</w:t>
            </w:r>
          </w:p>
        </w:tc>
        <w:tc>
          <w:tcPr>
            <w:tcW w:w="737" w:type="dxa"/>
            <w:vAlign w:val="center"/>
          </w:tcPr>
          <w:p>
            <w:pPr>
              <w:spacing w:line="300" w:lineRule="exact"/>
              <w:jc w:val="center"/>
              <w:rPr>
                <w:rFonts w:ascii="方正书宋_GBK" w:eastAsia="方正书宋_GBK"/>
                <w:b/>
              </w:rPr>
            </w:pPr>
            <w:r>
              <w:rPr>
                <w:rFonts w:hint="eastAsia" w:ascii="方正书宋_GBK" w:eastAsia="方正书宋_GBK"/>
                <w:b/>
              </w:rPr>
              <w:t>中</w:t>
            </w:r>
          </w:p>
        </w:tc>
        <w:tc>
          <w:tcPr>
            <w:tcW w:w="737" w:type="dxa"/>
            <w:vAlign w:val="center"/>
          </w:tcPr>
          <w:p>
            <w:pPr>
              <w:spacing w:line="300" w:lineRule="exact"/>
              <w:jc w:val="center"/>
              <w:rPr>
                <w:rFonts w:ascii="方正书宋_GBK" w:eastAsia="方正书宋_GBK"/>
                <w:b/>
              </w:rPr>
            </w:pPr>
            <w:r>
              <w:rPr>
                <w:rFonts w:hint="eastAsia" w:ascii="方正书宋_GBK" w:eastAsia="方正书宋_GBK"/>
                <w:b/>
              </w:rPr>
              <w:t>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pPr>
              <w:spacing w:line="300" w:lineRule="exact"/>
              <w:jc w:val="left"/>
              <w:rPr>
                <w:rFonts w:ascii="方正书宋_GBK" w:eastAsia="方正书宋_GBK"/>
                <w:b/>
              </w:rPr>
            </w:pPr>
            <w:r>
              <w:rPr>
                <w:rFonts w:hint="eastAsia" w:ascii="方正书宋_GBK" w:eastAsia="方正书宋_GBK"/>
                <w:b/>
              </w:rPr>
              <w:t>一、公共卫生服务</w:t>
            </w:r>
          </w:p>
        </w:tc>
        <w:tc>
          <w:tcPr>
            <w:tcW w:w="1276" w:type="dxa"/>
            <w:vAlign w:val="center"/>
          </w:tcPr>
          <w:p>
            <w:pPr>
              <w:spacing w:line="300" w:lineRule="exact"/>
              <w:jc w:val="left"/>
              <w:rPr>
                <w:rFonts w:ascii="方正书宋_GBK" w:eastAsia="方正书宋_GBK"/>
              </w:rPr>
            </w:pPr>
            <w:r>
              <w:rPr>
                <w:rFonts w:hint="eastAsia" w:ascii="方正书宋_GBK" w:eastAsia="方正书宋_GBK"/>
              </w:rPr>
              <w:t>402.01</w:t>
            </w:r>
          </w:p>
        </w:tc>
        <w:tc>
          <w:tcPr>
            <w:tcW w:w="2976" w:type="dxa"/>
            <w:vAlign w:val="center"/>
          </w:tcPr>
          <w:p>
            <w:pPr>
              <w:spacing w:line="300" w:lineRule="exact"/>
              <w:jc w:val="left"/>
              <w:rPr>
                <w:rFonts w:ascii="方正书宋_GBK" w:eastAsia="方正书宋_GBK"/>
              </w:rPr>
            </w:pPr>
            <w:r>
              <w:rPr>
                <w:rFonts w:hint="eastAsia" w:ascii="方正书宋_GBK" w:eastAsia="方正书宋_GBK"/>
              </w:rPr>
              <w:t>公共卫生是关系到人民大众健康的公共事业，包括对重大疾病的预防、监控和医治，对突发公共事件的卫生应急处置，对食品、药品、公共环境卫生的监督管制。</w:t>
            </w:r>
          </w:p>
        </w:tc>
        <w:tc>
          <w:tcPr>
            <w:tcW w:w="2976" w:type="dxa"/>
            <w:vAlign w:val="center"/>
          </w:tcPr>
          <w:p>
            <w:pPr>
              <w:spacing w:line="300" w:lineRule="exact"/>
              <w:jc w:val="left"/>
              <w:rPr>
                <w:rFonts w:ascii="方正书宋_GBK" w:eastAsia="方正书宋_GBK"/>
              </w:rPr>
            </w:pPr>
            <w:r>
              <w:rPr>
                <w:rFonts w:hint="eastAsia" w:ascii="方正书宋_GBK" w:eastAsia="方正书宋_GBK"/>
              </w:rPr>
              <w:t>推进基本公共卫生服务均等化；控制各类重大疾病的发生与传播；有效应对我县突发公共卫生事件；保障妇女儿童身心健康；提高食品安全风险预警能力。</w:t>
            </w:r>
          </w:p>
        </w:tc>
        <w:tc>
          <w:tcPr>
            <w:tcW w:w="1417" w:type="dxa"/>
            <w:vAlign w:val="center"/>
          </w:tcPr>
          <w:p>
            <w:pPr>
              <w:spacing w:line="300" w:lineRule="exact"/>
              <w:jc w:val="left"/>
              <w:rPr>
                <w:rFonts w:ascii="方正书宋_GBK" w:eastAsia="方正书宋_GBK"/>
              </w:rPr>
            </w:pPr>
          </w:p>
        </w:tc>
        <w:tc>
          <w:tcPr>
            <w:tcW w:w="737" w:type="dxa"/>
            <w:vAlign w:val="center"/>
          </w:tcPr>
          <w:p>
            <w:pPr>
              <w:spacing w:line="300" w:lineRule="exact"/>
              <w:jc w:val="center"/>
              <w:rPr>
                <w:rFonts w:ascii="方正书宋_GBK" w:eastAsia="方正书宋_GBK"/>
              </w:rPr>
            </w:pPr>
          </w:p>
        </w:tc>
        <w:tc>
          <w:tcPr>
            <w:tcW w:w="737" w:type="dxa"/>
            <w:vAlign w:val="center"/>
          </w:tcPr>
          <w:p>
            <w:pPr>
              <w:spacing w:line="300" w:lineRule="exact"/>
              <w:jc w:val="center"/>
              <w:rPr>
                <w:rFonts w:ascii="方正书宋_GBK" w:eastAsia="方正书宋_GBK"/>
              </w:rPr>
            </w:pPr>
          </w:p>
        </w:tc>
        <w:tc>
          <w:tcPr>
            <w:tcW w:w="737" w:type="dxa"/>
            <w:vAlign w:val="center"/>
          </w:tcPr>
          <w:p>
            <w:pPr>
              <w:spacing w:line="300" w:lineRule="exact"/>
              <w:jc w:val="center"/>
              <w:rPr>
                <w:rFonts w:ascii="方正书宋_GBK" w:eastAsia="方正书宋_GBK"/>
              </w:rPr>
            </w:pPr>
          </w:p>
        </w:tc>
        <w:tc>
          <w:tcPr>
            <w:tcW w:w="737" w:type="dxa"/>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85" w:hRule="atLeast"/>
          <w:jc w:val="center"/>
        </w:trPr>
        <w:tc>
          <w:tcPr>
            <w:tcW w:w="2341" w:type="dxa"/>
            <w:vAlign w:val="center"/>
          </w:tcPr>
          <w:p>
            <w:pPr>
              <w:spacing w:line="300" w:lineRule="exact"/>
              <w:jc w:val="left"/>
              <w:rPr>
                <w:rFonts w:ascii="方正书宋_GBK" w:eastAsia="方正书宋_GBK"/>
                <w:b/>
              </w:rPr>
            </w:pPr>
            <w:r>
              <w:rPr>
                <w:rFonts w:hint="eastAsia" w:ascii="方正书宋_GBK" w:eastAsia="方正书宋_GBK"/>
                <w:b/>
              </w:rPr>
              <w:t>　　1、基本公共卫生服务</w:t>
            </w:r>
          </w:p>
        </w:tc>
        <w:tc>
          <w:tcPr>
            <w:tcW w:w="1276" w:type="dxa"/>
            <w:vAlign w:val="center"/>
          </w:tcPr>
          <w:p>
            <w:pPr>
              <w:spacing w:line="300" w:lineRule="exact"/>
              <w:jc w:val="left"/>
              <w:rPr>
                <w:rFonts w:ascii="方正书宋_GBK" w:eastAsia="方正书宋_GBK"/>
              </w:rPr>
            </w:pPr>
            <w:r>
              <w:rPr>
                <w:rFonts w:hint="eastAsia" w:ascii="方正书宋_GBK" w:eastAsia="方正书宋_GBK"/>
              </w:rPr>
              <w:t>399.01</w:t>
            </w:r>
          </w:p>
        </w:tc>
        <w:tc>
          <w:tcPr>
            <w:tcW w:w="2976" w:type="dxa"/>
            <w:vAlign w:val="center"/>
          </w:tcPr>
          <w:p>
            <w:pPr>
              <w:spacing w:line="300" w:lineRule="exact"/>
              <w:jc w:val="left"/>
              <w:rPr>
                <w:rFonts w:ascii="方正书宋_GBK" w:eastAsia="方正书宋_GBK"/>
              </w:rPr>
            </w:pPr>
            <w:r>
              <w:rPr>
                <w:rFonts w:hint="eastAsia" w:ascii="方正书宋_GBK" w:eastAsia="方正书宋_GBK"/>
              </w:rPr>
              <w:t>按照国家基本公共卫生服务项目《规范》，组织全县基层医疗卫生机构开展实施基本公共卫生服务项目。</w:t>
            </w:r>
          </w:p>
        </w:tc>
        <w:tc>
          <w:tcPr>
            <w:tcW w:w="2976" w:type="dxa"/>
            <w:vAlign w:val="center"/>
          </w:tcPr>
          <w:p>
            <w:pPr>
              <w:spacing w:line="300" w:lineRule="exact"/>
              <w:jc w:val="left"/>
              <w:rPr>
                <w:rFonts w:ascii="方正书宋_GBK" w:eastAsia="方正书宋_GBK"/>
              </w:rPr>
            </w:pPr>
            <w:r>
              <w:rPr>
                <w:rFonts w:hint="eastAsia" w:ascii="方正书宋_GBK" w:eastAsia="方正书宋_GBK"/>
              </w:rPr>
              <w:t>对城乡居民健康实行干预，减少危害健康的因素，有效预防传染病及慢性病，使其享有平等的基本卫生服务。</w:t>
            </w:r>
          </w:p>
        </w:tc>
        <w:tc>
          <w:tcPr>
            <w:tcW w:w="1417" w:type="dxa"/>
            <w:vAlign w:val="center"/>
          </w:tcPr>
          <w:p>
            <w:pPr>
              <w:spacing w:line="300" w:lineRule="exact"/>
              <w:jc w:val="left"/>
              <w:rPr>
                <w:rFonts w:ascii="方正书宋_GBK" w:eastAsia="方正书宋_GBK"/>
              </w:rPr>
            </w:pPr>
            <w:r>
              <w:rPr>
                <w:rFonts w:hint="eastAsia" w:ascii="方正书宋_GBK" w:eastAsia="方正书宋_GBK"/>
              </w:rPr>
              <w:t>居民健康档案总体建档率</w:t>
            </w:r>
          </w:p>
        </w:tc>
        <w:tc>
          <w:tcPr>
            <w:tcW w:w="737" w:type="dxa"/>
            <w:vAlign w:val="center"/>
          </w:tcPr>
          <w:p>
            <w:pPr>
              <w:spacing w:line="300" w:lineRule="exact"/>
              <w:jc w:val="center"/>
              <w:rPr>
                <w:rFonts w:ascii="方正书宋_GBK" w:eastAsia="方正书宋_GBK"/>
              </w:rPr>
            </w:pPr>
            <w:r>
              <w:rPr>
                <w:rFonts w:hint="eastAsia" w:ascii="方正书宋_GBK" w:eastAsia="方正书宋_GBK"/>
              </w:rPr>
              <w:t>80%及以上</w:t>
            </w:r>
          </w:p>
        </w:tc>
        <w:tc>
          <w:tcPr>
            <w:tcW w:w="737" w:type="dxa"/>
            <w:vAlign w:val="center"/>
          </w:tcPr>
          <w:p>
            <w:pPr>
              <w:spacing w:line="300" w:lineRule="exact"/>
              <w:jc w:val="center"/>
              <w:rPr>
                <w:rFonts w:ascii="方正书宋_GBK" w:eastAsia="方正书宋_GBK"/>
              </w:rPr>
            </w:pPr>
            <w:r>
              <w:rPr>
                <w:rFonts w:hint="eastAsia" w:ascii="方正书宋_GBK" w:eastAsia="方正书宋_GBK"/>
              </w:rPr>
              <w:t>70%及以上</w:t>
            </w:r>
          </w:p>
        </w:tc>
        <w:tc>
          <w:tcPr>
            <w:tcW w:w="737" w:type="dxa"/>
            <w:vAlign w:val="center"/>
          </w:tcPr>
          <w:p>
            <w:pPr>
              <w:spacing w:line="300" w:lineRule="exact"/>
              <w:jc w:val="center"/>
              <w:rPr>
                <w:rFonts w:ascii="方正书宋_GBK" w:eastAsia="方正书宋_GBK"/>
              </w:rPr>
            </w:pPr>
            <w:r>
              <w:rPr>
                <w:rFonts w:hint="eastAsia" w:ascii="方正书宋_GBK" w:eastAsia="方正书宋_GBK"/>
              </w:rPr>
              <w:t>60%及以上</w:t>
            </w:r>
          </w:p>
        </w:tc>
        <w:tc>
          <w:tcPr>
            <w:tcW w:w="737" w:type="dxa"/>
            <w:vAlign w:val="center"/>
          </w:tcPr>
          <w:p>
            <w:pPr>
              <w:spacing w:line="300" w:lineRule="exact"/>
              <w:jc w:val="center"/>
              <w:rPr>
                <w:rFonts w:ascii="方正书宋_GBK" w:eastAsia="方正书宋_GBK"/>
              </w:rPr>
            </w:pPr>
            <w:r>
              <w:rPr>
                <w:rFonts w:hint="eastAsia" w:ascii="方正书宋_GBK" w:eastAsia="方正书宋_GBK"/>
              </w:rPr>
              <w:t>60%以下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8" w:hRule="atLeast"/>
          <w:jc w:val="center"/>
        </w:trPr>
        <w:tc>
          <w:tcPr>
            <w:tcW w:w="2341" w:type="dxa"/>
            <w:vMerge w:val="restart"/>
            <w:vAlign w:val="center"/>
          </w:tcPr>
          <w:p>
            <w:pPr>
              <w:spacing w:line="300" w:lineRule="exact"/>
              <w:jc w:val="left"/>
              <w:rPr>
                <w:rFonts w:ascii="方正书宋_GBK" w:eastAsia="方正书宋_GBK"/>
                <w:b/>
              </w:rPr>
            </w:pPr>
            <w:r>
              <w:rPr>
                <w:rFonts w:hint="eastAsia" w:ascii="方正书宋_GBK" w:eastAsia="方正书宋_GBK"/>
                <w:b/>
              </w:rPr>
              <w:t>　　2、妇幼卫生</w:t>
            </w:r>
          </w:p>
        </w:tc>
        <w:tc>
          <w:tcPr>
            <w:tcW w:w="1276" w:type="dxa"/>
            <w:vMerge w:val="restart"/>
            <w:vAlign w:val="center"/>
          </w:tcPr>
          <w:p>
            <w:pPr>
              <w:spacing w:line="300" w:lineRule="exact"/>
              <w:jc w:val="left"/>
              <w:rPr>
                <w:rFonts w:ascii="方正书宋_GBK" w:eastAsia="方正书宋_GBK"/>
              </w:rPr>
            </w:pPr>
            <w:r>
              <w:rPr>
                <w:rFonts w:ascii="方正书宋_GBK" w:eastAsia="方正书宋_GBK"/>
              </w:rPr>
              <w:t>3.00</w:t>
            </w:r>
          </w:p>
        </w:tc>
        <w:tc>
          <w:tcPr>
            <w:tcW w:w="2976" w:type="dxa"/>
            <w:vMerge w:val="restart"/>
            <w:vAlign w:val="center"/>
          </w:tcPr>
          <w:p>
            <w:pPr>
              <w:spacing w:line="300" w:lineRule="exact"/>
              <w:jc w:val="left"/>
              <w:rPr>
                <w:rFonts w:ascii="方正书宋_GBK" w:eastAsia="方正书宋_GBK"/>
              </w:rPr>
            </w:pPr>
            <w:r>
              <w:rPr>
                <w:rFonts w:hint="eastAsia" w:ascii="方正书宋_GBK" w:eastAsia="方正书宋_GBK"/>
              </w:rPr>
              <w:t>对我县准备怀孕的农村妇女免费增补叶酸预防神经管缺陷；免费为农村妇女进行宫颈癌和乳腺癌筛查；对我县农村孕产妇在医院进行分</w:t>
            </w:r>
          </w:p>
        </w:tc>
        <w:tc>
          <w:tcPr>
            <w:tcW w:w="2976" w:type="dxa"/>
            <w:vMerge w:val="restart"/>
            <w:vAlign w:val="center"/>
          </w:tcPr>
          <w:p>
            <w:pPr>
              <w:spacing w:line="300" w:lineRule="exact"/>
              <w:jc w:val="left"/>
              <w:rPr>
                <w:rFonts w:ascii="方正书宋_GBK" w:eastAsia="方正书宋_GBK"/>
              </w:rPr>
            </w:pPr>
            <w:r>
              <w:rPr>
                <w:rFonts w:hint="eastAsia" w:ascii="方正书宋_GBK" w:eastAsia="方正书宋_GBK"/>
              </w:rPr>
              <w:t>提高妇女儿童健康水平和出生人口素质。</w:t>
            </w:r>
          </w:p>
        </w:tc>
        <w:tc>
          <w:tcPr>
            <w:tcW w:w="1417" w:type="dxa"/>
            <w:vMerge w:val="restart"/>
            <w:vAlign w:val="center"/>
          </w:tcPr>
          <w:p>
            <w:pPr>
              <w:spacing w:line="300" w:lineRule="exact"/>
              <w:jc w:val="left"/>
              <w:rPr>
                <w:rFonts w:ascii="方正书宋_GBK" w:eastAsia="方正书宋_GBK"/>
              </w:rPr>
            </w:pPr>
            <w:r>
              <w:rPr>
                <w:rFonts w:ascii="方正书宋_GBK" w:eastAsia="方正书宋_GBK"/>
              </w:rPr>
              <w:t>5</w:t>
            </w:r>
            <w:r>
              <w:rPr>
                <w:rFonts w:hint="eastAsia" w:ascii="方正书宋_GBK" w:eastAsia="方正书宋_GBK"/>
              </w:rPr>
              <w:t>岁以下儿童死亡率</w:t>
            </w:r>
          </w:p>
          <w:p>
            <w:pPr>
              <w:spacing w:line="300" w:lineRule="exact"/>
              <w:jc w:val="left"/>
              <w:rPr>
                <w:rFonts w:ascii="方正书宋_GBK" w:eastAsia="方正书宋_GBK"/>
              </w:rPr>
            </w:pPr>
            <w:r>
              <w:rPr>
                <w:rFonts w:hint="eastAsia" w:ascii="方正书宋_GBK" w:eastAsia="方正书宋_GBK"/>
              </w:rPr>
              <w:t>孕产妇死亡率</w:t>
            </w:r>
          </w:p>
        </w:tc>
        <w:tc>
          <w:tcPr>
            <w:tcW w:w="737" w:type="dxa"/>
            <w:vAlign w:val="center"/>
          </w:tcPr>
          <w:p>
            <w:pPr>
              <w:spacing w:line="300" w:lineRule="exact"/>
              <w:jc w:val="center"/>
              <w:rPr>
                <w:rFonts w:ascii="方正书宋_GBK" w:eastAsia="方正书宋_GBK"/>
              </w:rPr>
            </w:pPr>
            <w:r>
              <w:rPr>
                <w:rFonts w:ascii="方正书宋_GBK" w:eastAsia="方正书宋_GBK"/>
              </w:rPr>
              <w:t>12‰</w:t>
            </w:r>
            <w:r>
              <w:rPr>
                <w:rFonts w:hint="eastAsia" w:ascii="方正书宋_GBK" w:eastAsia="方正书宋_GBK"/>
              </w:rPr>
              <w:t>及以下</w:t>
            </w:r>
          </w:p>
        </w:tc>
        <w:tc>
          <w:tcPr>
            <w:tcW w:w="737" w:type="dxa"/>
            <w:vAlign w:val="center"/>
          </w:tcPr>
          <w:p>
            <w:pPr>
              <w:spacing w:line="300" w:lineRule="exact"/>
              <w:jc w:val="center"/>
              <w:rPr>
                <w:rFonts w:ascii="方正书宋_GBK" w:eastAsia="方正书宋_GBK"/>
              </w:rPr>
            </w:pPr>
            <w:r>
              <w:rPr>
                <w:rFonts w:ascii="方正书宋_GBK" w:eastAsia="方正书宋_GBK"/>
              </w:rPr>
              <w:t>13‰</w:t>
            </w:r>
            <w:r>
              <w:rPr>
                <w:rFonts w:hint="eastAsia" w:ascii="方正书宋_GBK" w:eastAsia="方正书宋_GBK"/>
              </w:rPr>
              <w:t>及以下</w:t>
            </w:r>
          </w:p>
        </w:tc>
        <w:tc>
          <w:tcPr>
            <w:tcW w:w="737" w:type="dxa"/>
            <w:vAlign w:val="center"/>
          </w:tcPr>
          <w:p>
            <w:pPr>
              <w:spacing w:line="300" w:lineRule="exact"/>
              <w:jc w:val="center"/>
              <w:rPr>
                <w:rFonts w:ascii="方正书宋_GBK" w:eastAsia="方正书宋_GBK"/>
              </w:rPr>
            </w:pPr>
            <w:r>
              <w:rPr>
                <w:rFonts w:ascii="方正书宋_GBK" w:eastAsia="方正书宋_GBK"/>
              </w:rPr>
              <w:t>14‰</w:t>
            </w:r>
            <w:r>
              <w:rPr>
                <w:rFonts w:hint="eastAsia" w:ascii="方正书宋_GBK" w:eastAsia="方正书宋_GBK"/>
              </w:rPr>
              <w:t>及以下</w:t>
            </w:r>
          </w:p>
        </w:tc>
        <w:tc>
          <w:tcPr>
            <w:tcW w:w="737" w:type="dxa"/>
            <w:vAlign w:val="center"/>
          </w:tcPr>
          <w:p>
            <w:pPr>
              <w:spacing w:line="300" w:lineRule="exact"/>
              <w:jc w:val="center"/>
              <w:rPr>
                <w:rFonts w:ascii="方正书宋_GBK" w:eastAsia="方正书宋_GBK"/>
              </w:rPr>
            </w:pPr>
            <w:r>
              <w:rPr>
                <w:rFonts w:ascii="方正书宋_GBK" w:eastAsia="方正书宋_GBK"/>
              </w:rPr>
              <w:t>14‰</w:t>
            </w:r>
            <w:r>
              <w:rPr>
                <w:rFonts w:hint="eastAsia" w:ascii="方正书宋_GBK" w:eastAsia="方正书宋_GBK"/>
              </w:rPr>
              <w:t>以上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44" w:hRule="atLeast"/>
          <w:jc w:val="center"/>
        </w:trPr>
        <w:tc>
          <w:tcPr>
            <w:tcW w:w="2341" w:type="dxa"/>
            <w:vMerge w:val="continue"/>
            <w:vAlign w:val="center"/>
          </w:tcPr>
          <w:p>
            <w:pPr>
              <w:spacing w:line="300" w:lineRule="exact"/>
              <w:jc w:val="left"/>
              <w:rPr>
                <w:rFonts w:ascii="方正书宋_GBK" w:eastAsia="方正书宋_GBK"/>
                <w:b/>
              </w:rPr>
            </w:pPr>
          </w:p>
        </w:tc>
        <w:tc>
          <w:tcPr>
            <w:tcW w:w="1276" w:type="dxa"/>
            <w:vMerge w:val="continue"/>
            <w:vAlign w:val="center"/>
          </w:tcPr>
          <w:p>
            <w:pPr>
              <w:spacing w:line="300" w:lineRule="exact"/>
              <w:jc w:val="left"/>
              <w:rPr>
                <w:rFonts w:ascii="方正书宋_GBK" w:eastAsia="方正书宋_GBK"/>
              </w:rPr>
            </w:pPr>
          </w:p>
        </w:tc>
        <w:tc>
          <w:tcPr>
            <w:tcW w:w="2976" w:type="dxa"/>
            <w:vMerge w:val="continue"/>
            <w:vAlign w:val="center"/>
          </w:tcPr>
          <w:p>
            <w:pPr>
              <w:spacing w:line="300" w:lineRule="exact"/>
              <w:jc w:val="left"/>
              <w:rPr>
                <w:rFonts w:ascii="方正书宋_GBK" w:eastAsia="方正书宋_GBK"/>
              </w:rPr>
            </w:pPr>
          </w:p>
        </w:tc>
        <w:tc>
          <w:tcPr>
            <w:tcW w:w="2976" w:type="dxa"/>
            <w:vMerge w:val="continue"/>
            <w:vAlign w:val="center"/>
          </w:tcPr>
          <w:p>
            <w:pPr>
              <w:spacing w:line="300" w:lineRule="exact"/>
              <w:jc w:val="left"/>
              <w:rPr>
                <w:rFonts w:ascii="方正书宋_GBK" w:eastAsia="方正书宋_GBK"/>
              </w:rPr>
            </w:pPr>
          </w:p>
        </w:tc>
        <w:tc>
          <w:tcPr>
            <w:tcW w:w="1417" w:type="dxa"/>
            <w:vMerge w:val="continue"/>
            <w:vAlign w:val="center"/>
          </w:tcPr>
          <w:p>
            <w:pPr>
              <w:spacing w:line="300" w:lineRule="exact"/>
              <w:jc w:val="left"/>
              <w:rPr>
                <w:rFonts w:ascii="方正书宋_GBK" w:eastAsia="方正书宋_GBK"/>
              </w:rPr>
            </w:pPr>
          </w:p>
        </w:tc>
        <w:tc>
          <w:tcPr>
            <w:tcW w:w="737" w:type="dxa"/>
            <w:vAlign w:val="center"/>
          </w:tcPr>
          <w:p>
            <w:pPr>
              <w:spacing w:line="300" w:lineRule="exact"/>
              <w:jc w:val="center"/>
              <w:rPr>
                <w:rFonts w:ascii="方正书宋_GBK" w:eastAsia="方正书宋_GBK"/>
              </w:rPr>
            </w:pPr>
            <w:r>
              <w:rPr>
                <w:rFonts w:ascii="方正书宋_GBK" w:eastAsia="方正书宋_GBK"/>
              </w:rPr>
              <w:t>24/10</w:t>
            </w:r>
            <w:r>
              <w:rPr>
                <w:rFonts w:hint="eastAsia" w:ascii="方正书宋_GBK" w:eastAsia="方正书宋_GBK"/>
              </w:rPr>
              <w:t>万及以下</w:t>
            </w:r>
          </w:p>
        </w:tc>
        <w:tc>
          <w:tcPr>
            <w:tcW w:w="737" w:type="dxa"/>
            <w:vAlign w:val="center"/>
          </w:tcPr>
          <w:p>
            <w:pPr>
              <w:spacing w:line="300" w:lineRule="exact"/>
              <w:jc w:val="center"/>
              <w:rPr>
                <w:rFonts w:ascii="方正书宋_GBK" w:eastAsia="方正书宋_GBK"/>
              </w:rPr>
            </w:pPr>
            <w:r>
              <w:rPr>
                <w:rFonts w:ascii="方正书宋_GBK" w:eastAsia="方正书宋_GBK"/>
              </w:rPr>
              <w:t>25/10</w:t>
            </w:r>
            <w:r>
              <w:rPr>
                <w:rFonts w:hint="eastAsia" w:ascii="方正书宋_GBK" w:eastAsia="方正书宋_GBK"/>
              </w:rPr>
              <w:t>万及以下</w:t>
            </w:r>
          </w:p>
        </w:tc>
        <w:tc>
          <w:tcPr>
            <w:tcW w:w="737" w:type="dxa"/>
            <w:vAlign w:val="center"/>
          </w:tcPr>
          <w:p>
            <w:pPr>
              <w:spacing w:line="300" w:lineRule="exact"/>
              <w:jc w:val="center"/>
              <w:rPr>
                <w:rFonts w:ascii="方正书宋_GBK" w:eastAsia="方正书宋_GBK"/>
              </w:rPr>
            </w:pPr>
            <w:r>
              <w:rPr>
                <w:rFonts w:ascii="方正书宋_GBK" w:eastAsia="方正书宋_GBK"/>
              </w:rPr>
              <w:t>26/10</w:t>
            </w:r>
            <w:r>
              <w:rPr>
                <w:rFonts w:hint="eastAsia" w:ascii="方正书宋_GBK" w:eastAsia="方正书宋_GBK"/>
              </w:rPr>
              <w:t>万及以下</w:t>
            </w:r>
          </w:p>
        </w:tc>
        <w:tc>
          <w:tcPr>
            <w:tcW w:w="737" w:type="dxa"/>
            <w:vAlign w:val="center"/>
          </w:tcPr>
          <w:p>
            <w:pPr>
              <w:spacing w:line="300" w:lineRule="exact"/>
              <w:jc w:val="center"/>
              <w:rPr>
                <w:rFonts w:ascii="方正书宋_GBK" w:eastAsia="方正书宋_GBK"/>
              </w:rPr>
            </w:pPr>
            <w:r>
              <w:rPr>
                <w:rFonts w:ascii="方正书宋_GBK" w:eastAsia="方正书宋_GBK"/>
              </w:rPr>
              <w:t>26/10</w:t>
            </w:r>
            <w:r>
              <w:rPr>
                <w:rFonts w:hint="eastAsia" w:ascii="方正书宋_GBK" w:eastAsia="方正书宋_GBK"/>
              </w:rPr>
              <w:t>万以上</w:t>
            </w:r>
          </w:p>
        </w:tc>
      </w:tr>
    </w:tbl>
    <w:p>
      <w:pPr>
        <w:autoSpaceDE w:val="0"/>
        <w:autoSpaceDN w:val="0"/>
        <w:adjustRightInd w:val="0"/>
        <w:jc w:val="left"/>
        <w:rPr>
          <w:rFonts w:ascii="黑体" w:hAnsi="黑体" w:eastAsia="黑体" w:cs="Times New Roman"/>
          <w:sz w:val="32"/>
          <w:szCs w:val="32"/>
        </w:rPr>
      </w:pPr>
      <w:r>
        <w:rPr>
          <w:rFonts w:hint="eastAsia" w:ascii="黑体" w:hAnsi="黑体" w:eastAsia="黑体" w:cs="Times New Roman"/>
          <w:sz w:val="32"/>
          <w:szCs w:val="32"/>
        </w:rPr>
        <w:t>六、政府采购预算情况</w:t>
      </w:r>
    </w:p>
    <w:p>
      <w:pPr>
        <w:ind w:firstLine="640" w:firstLineChars="200"/>
        <w:outlineLvl w:val="0"/>
        <w:rPr>
          <w:rFonts w:ascii="Times New Roman" w:hAnsi="Times New Roman" w:eastAsia="仿宋" w:cs="Times New Roman"/>
          <w:sz w:val="32"/>
          <w:szCs w:val="24"/>
        </w:rPr>
      </w:pPr>
      <w:bookmarkStart w:id="2" w:name="_Toc471398468"/>
      <w:r>
        <w:rPr>
          <w:rFonts w:ascii="Times New Roman" w:hAnsi="Times New Roman" w:eastAsia="仿宋" w:cs="Times New Roman"/>
          <w:sz w:val="32"/>
          <w:szCs w:val="24"/>
        </w:rPr>
        <w:t xml:space="preserve"> 2018年，</w:t>
      </w:r>
      <w:r>
        <w:rPr>
          <w:rFonts w:hint="eastAsia" w:ascii="Times New Roman" w:hAnsi="Times New Roman" w:eastAsia="仿宋" w:cs="Times New Roman"/>
          <w:sz w:val="32"/>
          <w:szCs w:val="24"/>
        </w:rPr>
        <w:t>我部门</w:t>
      </w:r>
      <w:r>
        <w:rPr>
          <w:rFonts w:ascii="Times New Roman" w:hAnsi="Times New Roman" w:eastAsia="仿宋" w:cs="Times New Roman"/>
          <w:sz w:val="32"/>
          <w:szCs w:val="24"/>
        </w:rPr>
        <w:t>安排政府采购预算</w:t>
      </w:r>
      <w:r>
        <w:rPr>
          <w:rFonts w:hint="eastAsia" w:ascii="Times New Roman" w:hAnsi="Times New Roman" w:eastAsia="仿宋" w:cs="Times New Roman"/>
          <w:sz w:val="32"/>
          <w:szCs w:val="24"/>
        </w:rPr>
        <w:t>0</w:t>
      </w:r>
      <w:r>
        <w:rPr>
          <w:rFonts w:ascii="Times New Roman" w:hAnsi="Times New Roman" w:eastAsia="仿宋" w:cs="Times New Roman"/>
          <w:sz w:val="32"/>
          <w:szCs w:val="24"/>
        </w:rPr>
        <w:t>万元。</w:t>
      </w:r>
      <w:r>
        <w:rPr>
          <w:rFonts w:hint="eastAsia" w:ascii="Times New Roman" w:hAnsi="Times New Roman" w:eastAsia="仿宋" w:cs="Times New Roman"/>
          <w:sz w:val="32"/>
          <w:szCs w:val="24"/>
        </w:rPr>
        <w:t>没有安排政府采购预算。</w:t>
      </w:r>
      <w:bookmarkEnd w:id="2"/>
    </w:p>
    <w:p>
      <w:pPr>
        <w:spacing w:line="300" w:lineRule="exact"/>
        <w:jc w:val="left"/>
        <w:outlineLvl w:val="0"/>
        <w:sectPr>
          <w:pgSz w:w="16839" w:h="11907" w:orient="landscape"/>
          <w:pgMar w:top="1021" w:right="1361" w:bottom="907" w:left="1361" w:header="851" w:footer="992" w:gutter="0"/>
          <w:cols w:space="720" w:num="1"/>
          <w:docGrid w:type="lines" w:linePitch="312" w:charSpace="0"/>
        </w:sectPr>
      </w:pPr>
    </w:p>
    <w:p>
      <w:pPr>
        <w:autoSpaceDE w:val="0"/>
        <w:autoSpaceDN w:val="0"/>
        <w:adjustRightInd w:val="0"/>
        <w:ind w:firstLine="640" w:firstLineChars="200"/>
        <w:jc w:val="left"/>
        <w:rPr>
          <w:rFonts w:ascii="黑体" w:hAnsi="黑体" w:eastAsia="黑体" w:cs="Times New Roman"/>
          <w:sz w:val="32"/>
          <w:szCs w:val="32"/>
        </w:rPr>
      </w:pPr>
      <w:r>
        <w:rPr>
          <w:rFonts w:hint="eastAsia" w:ascii="黑体" w:hAnsi="黑体" w:eastAsia="黑体" w:cs="Times New Roman"/>
          <w:sz w:val="32"/>
          <w:szCs w:val="32"/>
        </w:rPr>
        <w:t>七、国有资产信息</w:t>
      </w:r>
    </w:p>
    <w:p>
      <w:pPr>
        <w:ind w:firstLine="640"/>
        <w:rPr>
          <w:rFonts w:ascii="Times New Roman" w:hAnsi="Times New Roman" w:eastAsia="仿宋" w:cs="Times New Roman"/>
          <w:sz w:val="32"/>
          <w:szCs w:val="32"/>
        </w:rPr>
      </w:pPr>
      <w:r>
        <w:rPr>
          <w:rFonts w:hint="eastAsia" w:ascii="Times New Roman" w:hAnsi="Times New Roman" w:eastAsia="仿宋" w:cs="Times New Roman"/>
          <w:sz w:val="32"/>
          <w:szCs w:val="32"/>
        </w:rPr>
        <w:t>河北省怀来县妇幼保健计划生育服务中心</w:t>
      </w:r>
      <w:r>
        <w:rPr>
          <w:rFonts w:ascii="Times New Roman" w:hAnsi="Times New Roman" w:eastAsia="仿宋" w:cs="Times New Roman"/>
          <w:sz w:val="32"/>
          <w:szCs w:val="32"/>
        </w:rPr>
        <w:t>上年末固定资产金额为</w:t>
      </w:r>
      <w:r>
        <w:rPr>
          <w:rFonts w:hint="eastAsia" w:ascii="Times New Roman" w:hAnsi="Times New Roman" w:eastAsia="仿宋" w:cs="Times New Roman"/>
          <w:sz w:val="32"/>
          <w:szCs w:val="32"/>
        </w:rPr>
        <w:t>1581</w:t>
      </w:r>
      <w:r>
        <w:rPr>
          <w:rFonts w:ascii="Times New Roman" w:hAnsi="Times New Roman" w:eastAsia="仿宋" w:cs="Times New Roman"/>
          <w:sz w:val="32"/>
          <w:szCs w:val="32"/>
        </w:rPr>
        <w:t>万元（详见下表），本年度各单位</w:t>
      </w:r>
      <w:r>
        <w:rPr>
          <w:rFonts w:hint="eastAsia" w:ascii="Times New Roman" w:hAnsi="Times New Roman" w:eastAsia="仿宋" w:cs="Times New Roman"/>
          <w:sz w:val="32"/>
          <w:szCs w:val="32"/>
        </w:rPr>
        <w:t>（处室）</w:t>
      </w:r>
      <w:r>
        <w:rPr>
          <w:rFonts w:ascii="Times New Roman" w:hAnsi="Times New Roman" w:eastAsia="仿宋" w:cs="Times New Roman"/>
          <w:sz w:val="32"/>
          <w:szCs w:val="32"/>
        </w:rPr>
        <w:t>拟购置固定资产</w:t>
      </w:r>
      <w:r>
        <w:rPr>
          <w:rFonts w:hint="eastAsia" w:ascii="Times New Roman" w:hAnsi="Times New Roman" w:eastAsia="仿宋" w:cs="Times New Roman"/>
          <w:sz w:val="32"/>
          <w:szCs w:val="32"/>
        </w:rPr>
        <w:t>总额为0</w:t>
      </w:r>
      <w:r>
        <w:rPr>
          <w:rFonts w:ascii="Times New Roman" w:hAnsi="Times New Roman" w:eastAsia="仿宋" w:cs="Times New Roman"/>
          <w:sz w:val="32"/>
          <w:szCs w:val="32"/>
        </w:rPr>
        <w:t>万元，主要为</w:t>
      </w:r>
      <w:r>
        <w:rPr>
          <w:rFonts w:hint="eastAsia" w:ascii="Times New Roman" w:hAnsi="Times New Roman" w:eastAsia="仿宋" w:cs="Times New Roman"/>
          <w:sz w:val="32"/>
          <w:szCs w:val="32"/>
        </w:rPr>
        <w:t>没有</w:t>
      </w:r>
      <w:r>
        <w:rPr>
          <w:rFonts w:ascii="Times New Roman" w:hAnsi="Times New Roman" w:eastAsia="仿宋" w:cs="Times New Roman"/>
          <w:sz w:val="32"/>
          <w:szCs w:val="32"/>
        </w:rPr>
        <w:t>政府采购预算</w:t>
      </w:r>
      <w:r>
        <w:rPr>
          <w:rFonts w:hint="eastAsia" w:ascii="Times New Roman" w:hAnsi="Times New Roman" w:eastAsia="仿宋" w:cs="Times New Roman"/>
          <w:sz w:val="32"/>
          <w:szCs w:val="32"/>
        </w:rPr>
        <w:t>。</w:t>
      </w:r>
    </w:p>
    <w:tbl>
      <w:tblPr>
        <w:tblStyle w:val="7"/>
        <w:tblW w:w="13482" w:type="dxa"/>
        <w:tblInd w:w="93" w:type="dxa"/>
        <w:tblLayout w:type="fixed"/>
        <w:tblCellMar>
          <w:top w:w="0" w:type="dxa"/>
          <w:left w:w="108" w:type="dxa"/>
          <w:bottom w:w="0" w:type="dxa"/>
          <w:right w:w="108" w:type="dxa"/>
        </w:tblCellMar>
      </w:tblPr>
      <w:tblGrid>
        <w:gridCol w:w="5224"/>
        <w:gridCol w:w="3155"/>
        <w:gridCol w:w="5103"/>
      </w:tblGrid>
      <w:tr>
        <w:tblPrEx>
          <w:tblCellMar>
            <w:top w:w="0" w:type="dxa"/>
            <w:left w:w="108" w:type="dxa"/>
            <w:bottom w:w="0" w:type="dxa"/>
            <w:right w:w="108" w:type="dxa"/>
          </w:tblCellMar>
        </w:tblPrEx>
        <w:trPr>
          <w:trHeight w:val="705" w:hRule="atLeast"/>
        </w:trPr>
        <w:tc>
          <w:tcPr>
            <w:tcW w:w="13482" w:type="dxa"/>
            <w:gridSpan w:val="3"/>
            <w:tcBorders>
              <w:top w:val="nil"/>
              <w:left w:val="nil"/>
              <w:bottom w:val="nil"/>
              <w:right w:val="nil"/>
            </w:tcBorders>
            <w:vAlign w:val="center"/>
          </w:tcPr>
          <w:p>
            <w:pPr>
              <w:widowControl/>
              <w:jc w:val="center"/>
              <w:rPr>
                <w:rFonts w:ascii="宋体" w:hAnsi="宋体" w:cs="宋体"/>
                <w:b/>
                <w:bCs/>
                <w:kern w:val="0"/>
                <w:sz w:val="32"/>
                <w:szCs w:val="32"/>
              </w:rPr>
            </w:pPr>
            <w:r>
              <w:rPr>
                <w:rFonts w:hint="eastAsia" w:ascii="宋体" w:hAnsi="宋体" w:cs="宋体"/>
                <w:b/>
                <w:bCs/>
                <w:kern w:val="0"/>
                <w:sz w:val="32"/>
                <w:szCs w:val="32"/>
              </w:rPr>
              <w:t>河北省省直部门固定资产占用情况表</w:t>
            </w:r>
          </w:p>
        </w:tc>
      </w:tr>
      <w:tr>
        <w:tblPrEx>
          <w:tblCellMar>
            <w:top w:w="0" w:type="dxa"/>
            <w:left w:w="108" w:type="dxa"/>
            <w:bottom w:w="0" w:type="dxa"/>
            <w:right w:w="108" w:type="dxa"/>
          </w:tblCellMar>
        </w:tblPrEx>
        <w:trPr>
          <w:trHeight w:val="510" w:hRule="atLeast"/>
        </w:trPr>
        <w:tc>
          <w:tcPr>
            <w:tcW w:w="8379" w:type="dxa"/>
            <w:gridSpan w:val="2"/>
            <w:tcBorders>
              <w:top w:val="nil"/>
              <w:left w:val="nil"/>
              <w:bottom w:val="nil"/>
              <w:right w:val="nil"/>
            </w:tcBorders>
            <w:vAlign w:val="center"/>
          </w:tcPr>
          <w:p>
            <w:pPr>
              <w:widowControl/>
              <w:jc w:val="left"/>
              <w:rPr>
                <w:rFonts w:ascii="Times New Roman" w:hAnsi="Times New Roman" w:eastAsia="仿宋" w:cs="Times New Roman"/>
                <w:kern w:val="0"/>
                <w:sz w:val="22"/>
              </w:rPr>
            </w:pPr>
            <w:r>
              <w:rPr>
                <w:rFonts w:ascii="Times New Roman" w:hAnsi="Times New Roman" w:eastAsia="仿宋" w:cs="Times New Roman"/>
                <w:kern w:val="0"/>
                <w:sz w:val="22"/>
              </w:rPr>
              <w:t>编制部门：</w:t>
            </w:r>
            <w:r>
              <w:rPr>
                <w:rFonts w:hint="eastAsia" w:ascii="Times New Roman" w:hAnsi="Times New Roman" w:eastAsia="仿宋" w:cs="Times New Roman"/>
                <w:kern w:val="0"/>
                <w:sz w:val="22"/>
              </w:rPr>
              <w:t>河北省怀来县妇幼保健计划生育服务中心</w:t>
            </w:r>
          </w:p>
        </w:tc>
        <w:tc>
          <w:tcPr>
            <w:tcW w:w="5103" w:type="dxa"/>
            <w:tcBorders>
              <w:top w:val="nil"/>
              <w:left w:val="nil"/>
              <w:bottom w:val="nil"/>
              <w:right w:val="nil"/>
            </w:tcBorders>
            <w:vAlign w:val="center"/>
          </w:tcPr>
          <w:p>
            <w:pPr>
              <w:widowControl/>
              <w:ind w:firstLine="1320" w:firstLineChars="600"/>
              <w:jc w:val="left"/>
              <w:rPr>
                <w:rFonts w:ascii="Times New Roman" w:hAnsi="Times New Roman" w:eastAsia="仿宋" w:cs="Times New Roman"/>
                <w:kern w:val="0"/>
                <w:sz w:val="22"/>
              </w:rPr>
            </w:pPr>
            <w:r>
              <w:rPr>
                <w:rFonts w:ascii="Times New Roman" w:hAnsi="Times New Roman" w:eastAsia="仿宋" w:cs="Times New Roman"/>
                <w:kern w:val="0"/>
                <w:sz w:val="22"/>
              </w:rPr>
              <w:t>截止时间：201</w:t>
            </w:r>
            <w:r>
              <w:rPr>
                <w:rFonts w:hint="eastAsia" w:ascii="Times New Roman" w:hAnsi="Times New Roman" w:eastAsia="仿宋" w:cs="Times New Roman"/>
                <w:kern w:val="0"/>
                <w:sz w:val="22"/>
              </w:rPr>
              <w:t>7</w:t>
            </w:r>
            <w:r>
              <w:rPr>
                <w:rFonts w:ascii="Times New Roman" w:hAnsi="Times New Roman" w:eastAsia="仿宋" w:cs="Times New Roman"/>
                <w:kern w:val="0"/>
                <w:sz w:val="22"/>
              </w:rPr>
              <w:t>年12月31日</w:t>
            </w:r>
          </w:p>
        </w:tc>
      </w:tr>
      <w:tr>
        <w:tblPrEx>
          <w:tblCellMar>
            <w:top w:w="0" w:type="dxa"/>
            <w:left w:w="108" w:type="dxa"/>
            <w:bottom w:w="0" w:type="dxa"/>
            <w:right w:w="108" w:type="dxa"/>
          </w:tblCellMar>
        </w:tblPrEx>
        <w:trPr>
          <w:trHeight w:val="645" w:hRule="atLeast"/>
        </w:trPr>
        <w:tc>
          <w:tcPr>
            <w:tcW w:w="522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rPr>
            </w:pPr>
            <w:r>
              <w:rPr>
                <w:rFonts w:hint="eastAsia" w:ascii="宋体" w:hAnsi="宋体" w:cs="宋体"/>
                <w:b/>
                <w:bCs/>
                <w:kern w:val="0"/>
                <w:sz w:val="22"/>
              </w:rPr>
              <w:t>项目</w:t>
            </w:r>
          </w:p>
        </w:tc>
        <w:tc>
          <w:tcPr>
            <w:tcW w:w="315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rPr>
            </w:pPr>
            <w:r>
              <w:rPr>
                <w:rFonts w:hint="eastAsia" w:ascii="宋体" w:hAnsi="宋体" w:cs="宋体"/>
                <w:b/>
                <w:bCs/>
                <w:kern w:val="0"/>
                <w:sz w:val="22"/>
              </w:rPr>
              <w:t>数量</w:t>
            </w:r>
          </w:p>
        </w:tc>
        <w:tc>
          <w:tcPr>
            <w:tcW w:w="510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rPr>
            </w:pPr>
            <w:r>
              <w:rPr>
                <w:rFonts w:hint="eastAsia" w:ascii="宋体" w:hAnsi="宋体" w:cs="宋体"/>
                <w:b/>
                <w:bCs/>
                <w:kern w:val="0"/>
                <w:sz w:val="22"/>
              </w:rPr>
              <w:t>价值（金额单位：万元）</w:t>
            </w:r>
          </w:p>
        </w:tc>
      </w:tr>
      <w:tr>
        <w:tblPrEx>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资产总额</w:t>
            </w:r>
          </w:p>
        </w:tc>
        <w:tc>
          <w:tcPr>
            <w:tcW w:w="3155" w:type="dxa"/>
            <w:tcBorders>
              <w:top w:val="nil"/>
              <w:left w:val="nil"/>
              <w:bottom w:val="single" w:color="auto" w:sz="4" w:space="0"/>
              <w:right w:val="single" w:color="auto" w:sz="4" w:space="0"/>
            </w:tcBorders>
            <w:vAlign w:val="center"/>
          </w:tcPr>
          <w:p>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w:t>
            </w:r>
          </w:p>
        </w:tc>
        <w:tc>
          <w:tcPr>
            <w:tcW w:w="5103" w:type="dxa"/>
            <w:tcBorders>
              <w:top w:val="nil"/>
              <w:left w:val="nil"/>
              <w:bottom w:val="single" w:color="auto" w:sz="4" w:space="0"/>
              <w:right w:val="single" w:color="auto" w:sz="4" w:space="0"/>
            </w:tcBorders>
            <w:vAlign w:val="center"/>
          </w:tcPr>
          <w:p>
            <w:pPr>
              <w:widowControl/>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1581</w:t>
            </w:r>
          </w:p>
        </w:tc>
      </w:tr>
      <w:tr>
        <w:tblPrEx>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 w:cs="Times New Roman"/>
                <w:kern w:val="0"/>
                <w:sz w:val="22"/>
              </w:rPr>
            </w:pPr>
            <w:r>
              <w:rPr>
                <w:rFonts w:ascii="Times New Roman" w:hAnsi="Times New Roman" w:eastAsia="仿宋" w:cs="Times New Roman"/>
                <w:kern w:val="0"/>
                <w:sz w:val="22"/>
              </w:rPr>
              <w:t>1、房屋（平方米）</w:t>
            </w:r>
          </w:p>
        </w:tc>
        <w:tc>
          <w:tcPr>
            <w:tcW w:w="3155" w:type="dxa"/>
            <w:tcBorders>
              <w:top w:val="nil"/>
              <w:left w:val="nil"/>
              <w:bottom w:val="single" w:color="auto" w:sz="4" w:space="0"/>
              <w:right w:val="single" w:color="auto" w:sz="4" w:space="0"/>
            </w:tcBorders>
            <w:vAlign w:val="center"/>
          </w:tcPr>
          <w:p>
            <w:pPr>
              <w:widowControl/>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4768</w:t>
            </w:r>
          </w:p>
        </w:tc>
        <w:tc>
          <w:tcPr>
            <w:tcW w:w="5103" w:type="dxa"/>
            <w:tcBorders>
              <w:top w:val="nil"/>
              <w:left w:val="nil"/>
              <w:bottom w:val="single" w:color="auto" w:sz="4" w:space="0"/>
              <w:right w:val="single" w:color="auto" w:sz="4" w:space="0"/>
            </w:tcBorders>
            <w:vAlign w:val="center"/>
          </w:tcPr>
          <w:p>
            <w:pPr>
              <w:widowControl/>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493</w:t>
            </w:r>
          </w:p>
        </w:tc>
      </w:tr>
      <w:tr>
        <w:tblPrEx>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 w:cs="Times New Roman"/>
                <w:kern w:val="0"/>
                <w:sz w:val="22"/>
              </w:rPr>
            </w:pPr>
            <w:r>
              <w:rPr>
                <w:rFonts w:ascii="Times New Roman" w:hAnsi="Times New Roman" w:eastAsia="仿宋" w:cs="Times New Roman"/>
                <w:kern w:val="0"/>
                <w:sz w:val="22"/>
              </w:rPr>
              <w:t>其中：办公用房（平方米）</w:t>
            </w:r>
          </w:p>
        </w:tc>
        <w:tc>
          <w:tcPr>
            <w:tcW w:w="3155" w:type="dxa"/>
            <w:tcBorders>
              <w:top w:val="nil"/>
              <w:left w:val="nil"/>
              <w:bottom w:val="single" w:color="auto" w:sz="4" w:space="0"/>
              <w:right w:val="single" w:color="auto" w:sz="4" w:space="0"/>
            </w:tcBorders>
            <w:vAlign w:val="center"/>
          </w:tcPr>
          <w:p>
            <w:pPr>
              <w:widowControl/>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4768</w:t>
            </w:r>
          </w:p>
        </w:tc>
        <w:tc>
          <w:tcPr>
            <w:tcW w:w="5103" w:type="dxa"/>
            <w:tcBorders>
              <w:top w:val="nil"/>
              <w:left w:val="nil"/>
              <w:bottom w:val="single" w:color="auto" w:sz="4" w:space="0"/>
              <w:right w:val="single" w:color="auto" w:sz="4" w:space="0"/>
            </w:tcBorders>
            <w:vAlign w:val="center"/>
          </w:tcPr>
          <w:p>
            <w:pPr>
              <w:widowControl/>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493</w:t>
            </w:r>
          </w:p>
        </w:tc>
      </w:tr>
      <w:tr>
        <w:tblPrEx>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 w:cs="Times New Roman"/>
                <w:kern w:val="0"/>
                <w:sz w:val="22"/>
              </w:rPr>
            </w:pPr>
            <w:r>
              <w:rPr>
                <w:rFonts w:ascii="Times New Roman" w:hAnsi="Times New Roman" w:eastAsia="仿宋" w:cs="Times New Roman"/>
                <w:kern w:val="0"/>
                <w:sz w:val="22"/>
              </w:rPr>
              <w:t>2、车辆（台、辆）</w:t>
            </w:r>
          </w:p>
        </w:tc>
        <w:tc>
          <w:tcPr>
            <w:tcW w:w="3155" w:type="dxa"/>
            <w:tcBorders>
              <w:top w:val="nil"/>
              <w:left w:val="nil"/>
              <w:bottom w:val="single" w:color="auto" w:sz="4" w:space="0"/>
              <w:right w:val="single" w:color="auto" w:sz="4" w:space="0"/>
            </w:tcBorders>
            <w:vAlign w:val="center"/>
          </w:tcPr>
          <w:p>
            <w:pPr>
              <w:widowControl/>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1</w:t>
            </w:r>
          </w:p>
        </w:tc>
        <w:tc>
          <w:tcPr>
            <w:tcW w:w="5103" w:type="dxa"/>
            <w:tcBorders>
              <w:top w:val="nil"/>
              <w:left w:val="nil"/>
              <w:bottom w:val="single" w:color="auto" w:sz="4" w:space="0"/>
              <w:right w:val="single" w:color="auto" w:sz="4" w:space="0"/>
            </w:tcBorders>
            <w:vAlign w:val="center"/>
          </w:tcPr>
          <w:p>
            <w:pPr>
              <w:widowControl/>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17</w:t>
            </w:r>
          </w:p>
        </w:tc>
      </w:tr>
      <w:tr>
        <w:tblPrEx>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 w:cs="Times New Roman"/>
                <w:kern w:val="0"/>
                <w:sz w:val="22"/>
              </w:rPr>
            </w:pPr>
            <w:r>
              <w:rPr>
                <w:rFonts w:ascii="Times New Roman" w:hAnsi="Times New Roman" w:eastAsia="仿宋" w:cs="Times New Roman"/>
                <w:kern w:val="0"/>
                <w:sz w:val="22"/>
              </w:rPr>
              <w:t>3、单价在20万元以上设备</w:t>
            </w:r>
          </w:p>
        </w:tc>
        <w:tc>
          <w:tcPr>
            <w:tcW w:w="3155" w:type="dxa"/>
            <w:tcBorders>
              <w:top w:val="nil"/>
              <w:left w:val="nil"/>
              <w:bottom w:val="single" w:color="auto" w:sz="4" w:space="0"/>
              <w:right w:val="single" w:color="auto" w:sz="4" w:space="0"/>
            </w:tcBorders>
            <w:vAlign w:val="center"/>
          </w:tcPr>
          <w:p>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w:t>
            </w:r>
          </w:p>
        </w:tc>
        <w:tc>
          <w:tcPr>
            <w:tcW w:w="5103" w:type="dxa"/>
            <w:tcBorders>
              <w:top w:val="nil"/>
              <w:left w:val="nil"/>
              <w:bottom w:val="single" w:color="auto" w:sz="4" w:space="0"/>
              <w:right w:val="single" w:color="auto" w:sz="4" w:space="0"/>
            </w:tcBorders>
            <w:vAlign w:val="center"/>
          </w:tcPr>
          <w:p>
            <w:pPr>
              <w:widowControl/>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181</w:t>
            </w:r>
          </w:p>
        </w:tc>
      </w:tr>
      <w:tr>
        <w:tblPrEx>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 w:cs="Times New Roman"/>
                <w:kern w:val="0"/>
                <w:sz w:val="22"/>
              </w:rPr>
            </w:pPr>
            <w:r>
              <w:rPr>
                <w:rFonts w:ascii="Times New Roman" w:hAnsi="Times New Roman" w:eastAsia="仿宋" w:cs="Times New Roman"/>
                <w:kern w:val="0"/>
                <w:sz w:val="22"/>
              </w:rPr>
              <w:t>4、其他固定资产</w:t>
            </w:r>
          </w:p>
        </w:tc>
        <w:tc>
          <w:tcPr>
            <w:tcW w:w="3155" w:type="dxa"/>
            <w:tcBorders>
              <w:top w:val="nil"/>
              <w:left w:val="nil"/>
              <w:bottom w:val="single" w:color="auto" w:sz="4" w:space="0"/>
              <w:right w:val="single" w:color="auto" w:sz="4" w:space="0"/>
            </w:tcBorders>
            <w:vAlign w:val="center"/>
          </w:tcPr>
          <w:p>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w:t>
            </w:r>
          </w:p>
        </w:tc>
        <w:tc>
          <w:tcPr>
            <w:tcW w:w="5103" w:type="dxa"/>
            <w:tcBorders>
              <w:top w:val="nil"/>
              <w:left w:val="nil"/>
              <w:bottom w:val="single" w:color="auto" w:sz="4" w:space="0"/>
              <w:right w:val="single" w:color="auto" w:sz="4" w:space="0"/>
            </w:tcBorders>
            <w:vAlign w:val="center"/>
          </w:tcPr>
          <w:p>
            <w:pPr>
              <w:widowControl/>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890</w:t>
            </w:r>
          </w:p>
        </w:tc>
      </w:tr>
    </w:tbl>
    <w:p>
      <w:pPr>
        <w:autoSpaceDE w:val="0"/>
        <w:autoSpaceDN w:val="0"/>
        <w:adjustRightInd w:val="0"/>
        <w:ind w:firstLine="640" w:firstLineChars="200"/>
        <w:jc w:val="left"/>
        <w:rPr>
          <w:rFonts w:ascii="黑体" w:hAnsi="黑体" w:eastAsia="黑体" w:cs="Times New Roman"/>
          <w:sz w:val="32"/>
          <w:szCs w:val="32"/>
        </w:rPr>
      </w:pPr>
    </w:p>
    <w:p>
      <w:pPr>
        <w:autoSpaceDE w:val="0"/>
        <w:autoSpaceDN w:val="0"/>
        <w:adjustRightInd w:val="0"/>
        <w:ind w:firstLine="640" w:firstLineChars="200"/>
        <w:jc w:val="left"/>
        <w:rPr>
          <w:rFonts w:ascii="黑体" w:hAnsi="黑体" w:eastAsia="黑体" w:cs="Times New Roman"/>
          <w:sz w:val="32"/>
          <w:szCs w:val="32"/>
        </w:rPr>
      </w:pPr>
      <w:r>
        <w:rPr>
          <w:rFonts w:hint="eastAsia" w:ascii="黑体" w:hAnsi="黑体" w:eastAsia="黑体" w:cs="Times New Roman"/>
          <w:sz w:val="32"/>
          <w:szCs w:val="32"/>
        </w:rPr>
        <w:t>八、名词解释</w:t>
      </w:r>
    </w:p>
    <w:p>
      <w:pPr>
        <w:pStyle w:val="12"/>
        <w:ind w:firstLine="643" w:firstLineChars="200"/>
        <w:rPr>
          <w:b/>
          <w:bCs/>
          <w:sz w:val="32"/>
          <w:szCs w:val="32"/>
        </w:rPr>
      </w:pPr>
      <w:r>
        <w:rPr>
          <w:b/>
          <w:bCs/>
          <w:sz w:val="32"/>
          <w:szCs w:val="32"/>
        </w:rPr>
        <w:t>1</w:t>
      </w:r>
      <w:r>
        <w:rPr>
          <w:rFonts w:ascii="FZFangSong-Z02" w:hAnsi="FZFangSong-Z02" w:cs="FZFangSong-Z02"/>
          <w:sz w:val="32"/>
          <w:szCs w:val="32"/>
        </w:rPr>
        <w:t>、一般</w:t>
      </w:r>
      <w:r>
        <w:rPr>
          <w:rFonts w:hint="eastAsia" w:ascii="FZFangSong-Z02" w:hAnsi="FZFangSong-Z02" w:cs="FZFangSong-Z02"/>
          <w:sz w:val="32"/>
          <w:szCs w:val="32"/>
        </w:rPr>
        <w:t>公</w:t>
      </w:r>
      <w:r>
        <w:rPr>
          <w:rFonts w:ascii="FZFangSong-Z02" w:hAnsi="FZFangSong-Z02" w:cs="FZFangSong-Z02"/>
          <w:sz w:val="32"/>
          <w:szCs w:val="32"/>
        </w:rPr>
        <w:t>共预算拨款收入：指省级财政当年拨付的资金。</w:t>
      </w:r>
    </w:p>
    <w:p>
      <w:pPr>
        <w:pStyle w:val="12"/>
        <w:ind w:firstLine="643" w:firstLineChars="200"/>
        <w:rPr>
          <w:rFonts w:ascii="FZFangSong-Z02" w:hAnsi="FZFangSong-Z02" w:cs="FZFangSong-Z02"/>
          <w:sz w:val="32"/>
          <w:szCs w:val="32"/>
        </w:rPr>
      </w:pPr>
      <w:r>
        <w:rPr>
          <w:b/>
          <w:bCs/>
          <w:sz w:val="32"/>
          <w:szCs w:val="32"/>
        </w:rPr>
        <w:t>2</w:t>
      </w:r>
      <w:r>
        <w:rPr>
          <w:rFonts w:ascii="FZFangSong-Z02" w:hAnsi="FZFangSong-Z02" w:cs="FZFangSong-Z02"/>
          <w:sz w:val="32"/>
          <w:szCs w:val="32"/>
        </w:rPr>
        <w:t>、事业收入：指事业单位开展专业业务活动及辅助活动所取得的收入。</w:t>
      </w:r>
    </w:p>
    <w:p>
      <w:pPr>
        <w:pStyle w:val="12"/>
        <w:ind w:firstLine="643" w:firstLineChars="200"/>
        <w:rPr>
          <w:rFonts w:ascii="FZFangSong-Z02" w:hAnsi="FZFangSong-Z02" w:cs="FZFangSong-Z02"/>
          <w:sz w:val="32"/>
          <w:szCs w:val="32"/>
        </w:rPr>
      </w:pPr>
      <w:r>
        <w:rPr>
          <w:b/>
          <w:bCs/>
          <w:sz w:val="32"/>
          <w:szCs w:val="32"/>
        </w:rPr>
        <w:t>3</w:t>
      </w:r>
      <w:r>
        <w:rPr>
          <w:rFonts w:ascii="FZFangSong-Z02" w:hAnsi="FZFangSong-Z02" w:cs="FZFangSong-Z02"/>
          <w:sz w:val="32"/>
          <w:szCs w:val="32"/>
        </w:rPr>
        <w:t>、其他收入：指除上述</w:t>
      </w:r>
      <w:r>
        <w:rPr>
          <w:sz w:val="32"/>
          <w:szCs w:val="32"/>
        </w:rPr>
        <w:t>“</w:t>
      </w:r>
      <w:r>
        <w:rPr>
          <w:rFonts w:ascii="FZFangSong-Z02" w:hAnsi="FZFangSong-Z02" w:cs="FZFangSong-Z02"/>
          <w:sz w:val="32"/>
          <w:szCs w:val="32"/>
        </w:rPr>
        <w:t>财政拨款收入</w:t>
      </w:r>
      <w:r>
        <w:rPr>
          <w:sz w:val="32"/>
          <w:szCs w:val="32"/>
        </w:rPr>
        <w:t>”</w:t>
      </w:r>
      <w:r>
        <w:rPr>
          <w:rFonts w:ascii="FZFangSong-Z02" w:hAnsi="FZFangSong-Z02" w:cs="FZFangSong-Z02"/>
          <w:sz w:val="32"/>
          <w:szCs w:val="32"/>
        </w:rPr>
        <w:t>、</w:t>
      </w:r>
      <w:r>
        <w:rPr>
          <w:sz w:val="32"/>
          <w:szCs w:val="32"/>
        </w:rPr>
        <w:t>“</w:t>
      </w:r>
      <w:r>
        <w:rPr>
          <w:rFonts w:ascii="FZFangSong-Z02" w:hAnsi="FZFangSong-Z02" w:cs="FZFangSong-Z02"/>
          <w:sz w:val="32"/>
          <w:szCs w:val="32"/>
        </w:rPr>
        <w:t>事业收入</w:t>
      </w:r>
      <w:r>
        <w:rPr>
          <w:sz w:val="32"/>
          <w:szCs w:val="32"/>
        </w:rPr>
        <w:t>”</w:t>
      </w:r>
      <w:r>
        <w:rPr>
          <w:rFonts w:ascii="FZFangSong-Z02" w:hAnsi="FZFangSong-Z02" w:cs="FZFangSong-Z02"/>
          <w:sz w:val="32"/>
          <w:szCs w:val="32"/>
        </w:rPr>
        <w:t>等以外的收入。主要是按规定动用的租房收入、存款利息收入等。</w:t>
      </w:r>
    </w:p>
    <w:p>
      <w:pPr>
        <w:pStyle w:val="12"/>
        <w:ind w:firstLine="643" w:firstLineChars="200"/>
        <w:rPr>
          <w:rFonts w:ascii="FZFangSong-Z02" w:hAnsi="FZFangSong-Z02" w:cs="FZFangSong-Z02"/>
          <w:sz w:val="32"/>
          <w:szCs w:val="32"/>
        </w:rPr>
      </w:pPr>
      <w:r>
        <w:rPr>
          <w:b/>
          <w:bCs/>
          <w:sz w:val="32"/>
          <w:szCs w:val="32"/>
        </w:rPr>
        <w:t>4</w:t>
      </w:r>
      <w:r>
        <w:rPr>
          <w:rFonts w:ascii="FZFangSong-Z02" w:hAnsi="FZFangSong-Z02" w:cs="FZFangSong-Z02"/>
          <w:sz w:val="32"/>
          <w:szCs w:val="32"/>
        </w:rPr>
        <w:t>、基本支出：</w:t>
      </w:r>
      <w:r>
        <w:rPr>
          <w:rFonts w:hint="eastAsia"/>
          <w:sz w:val="32"/>
          <w:szCs w:val="32"/>
        </w:rPr>
        <w:t>指为保障机构正常运转、完成日常工作任务而发生的人员支出和公用支出。</w:t>
      </w:r>
    </w:p>
    <w:p>
      <w:pPr>
        <w:ind w:firstLine="643" w:firstLineChars="200"/>
        <w:rPr>
          <w:sz w:val="32"/>
          <w:szCs w:val="32"/>
        </w:rPr>
      </w:pPr>
      <w:r>
        <w:rPr>
          <w:b/>
          <w:bCs/>
          <w:sz w:val="32"/>
          <w:szCs w:val="32"/>
        </w:rPr>
        <w:t>5</w:t>
      </w:r>
      <w:r>
        <w:rPr>
          <w:rFonts w:ascii="FZFangSong-Z02" w:hAnsi="FZFangSong-Z02" w:cs="FZFangSong-Z02"/>
          <w:sz w:val="32"/>
          <w:szCs w:val="32"/>
        </w:rPr>
        <w:t>、项目支出：</w:t>
      </w:r>
      <w:r>
        <w:rPr>
          <w:rFonts w:hint="eastAsia"/>
          <w:sz w:val="32"/>
          <w:szCs w:val="32"/>
        </w:rPr>
        <w:t>指在基本支出之外为完成特定行政任务和事业发展目标所发生的支出。</w:t>
      </w:r>
    </w:p>
    <w:p>
      <w:pPr>
        <w:pStyle w:val="12"/>
        <w:ind w:firstLine="643" w:firstLineChars="200"/>
        <w:rPr>
          <w:sz w:val="32"/>
          <w:szCs w:val="32"/>
        </w:rPr>
      </w:pPr>
      <w:r>
        <w:rPr>
          <w:b/>
          <w:bCs/>
          <w:sz w:val="32"/>
          <w:szCs w:val="32"/>
        </w:rPr>
        <w:t>6</w:t>
      </w:r>
      <w:r>
        <w:rPr>
          <w:rFonts w:ascii="FZFangSong-Z02" w:hAnsi="FZFangSong-Z02" w:cs="FZFangSong-Z02"/>
          <w:sz w:val="32"/>
          <w:szCs w:val="32"/>
        </w:rPr>
        <w:t>、上缴上级支出：</w:t>
      </w:r>
      <w:r>
        <w:rPr>
          <w:rFonts w:hint="eastAsia"/>
          <w:sz w:val="32"/>
          <w:szCs w:val="32"/>
        </w:rPr>
        <w:t>指下级单位上缴上级的支出。</w:t>
      </w:r>
    </w:p>
    <w:p>
      <w:pPr>
        <w:pStyle w:val="12"/>
        <w:ind w:firstLine="643" w:firstLineChars="200"/>
        <w:rPr>
          <w:rFonts w:ascii="FZFangSong-Z02" w:hAnsi="FZFangSong-Z02" w:cs="FZFangSong-Z02"/>
          <w:sz w:val="32"/>
          <w:szCs w:val="32"/>
        </w:rPr>
      </w:pPr>
      <w:r>
        <w:rPr>
          <w:b/>
          <w:bCs/>
          <w:sz w:val="32"/>
          <w:szCs w:val="32"/>
        </w:rPr>
        <w:t>7</w:t>
      </w:r>
      <w:r>
        <w:rPr>
          <w:rFonts w:ascii="FZFangSong-Z02" w:hAnsi="FZFangSong-Z02" w:cs="FZFangSong-Z02"/>
          <w:sz w:val="32"/>
          <w:szCs w:val="32"/>
        </w:rPr>
        <w:t>、</w:t>
      </w:r>
      <w:r>
        <w:rPr>
          <w:b/>
          <w:bCs/>
          <w:sz w:val="32"/>
          <w:szCs w:val="32"/>
        </w:rPr>
        <w:t>“</w:t>
      </w:r>
      <w:r>
        <w:rPr>
          <w:rFonts w:ascii="FZFangSong-Z02" w:hAnsi="FZFangSong-Z02" w:cs="FZFangSong-Z02"/>
          <w:sz w:val="32"/>
          <w:szCs w:val="32"/>
        </w:rPr>
        <w:t>三公</w:t>
      </w:r>
      <w:r>
        <w:rPr>
          <w:b/>
          <w:bCs/>
          <w:sz w:val="32"/>
          <w:szCs w:val="32"/>
        </w:rPr>
        <w:t>”</w:t>
      </w:r>
      <w:r>
        <w:rPr>
          <w:rFonts w:ascii="FZFangSong-Z02" w:hAnsi="FZFangSong-Z02" w:cs="FZFangSong-Z02"/>
          <w:sz w:val="32"/>
          <w:szCs w:val="32"/>
        </w:rPr>
        <w:t>经费：纳入省级财政预算管理的</w:t>
      </w:r>
      <w:r>
        <w:rPr>
          <w:sz w:val="32"/>
          <w:szCs w:val="32"/>
        </w:rPr>
        <w:t>“</w:t>
      </w:r>
      <w:r>
        <w:rPr>
          <w:rFonts w:ascii="FZFangSong-Z02" w:hAnsi="FZFangSong-Z02" w:cs="FZFangSong-Z02"/>
          <w:sz w:val="32"/>
          <w:szCs w:val="32"/>
        </w:rPr>
        <w:t>三公</w:t>
      </w:r>
      <w:r>
        <w:rPr>
          <w:sz w:val="32"/>
          <w:szCs w:val="32"/>
        </w:rPr>
        <w:t>”</w:t>
      </w:r>
      <w:r>
        <w:rPr>
          <w:rFonts w:ascii="FZFangSong-Z02" w:hAnsi="FZFangSong-Z02" w:cs="FZFangSong-Z02"/>
          <w:sz w:val="32"/>
          <w:szCs w:val="32"/>
        </w:rPr>
        <w:t>经费，是指省级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ind w:firstLine="643" w:firstLineChars="200"/>
        <w:rPr>
          <w:rFonts w:ascii="FZFangSong-Z02" w:hAnsi="FZFangSong-Z02" w:cs="FZFangSong-Z02"/>
          <w:sz w:val="32"/>
          <w:szCs w:val="32"/>
        </w:rPr>
      </w:pPr>
      <w:r>
        <w:rPr>
          <w:b/>
          <w:bCs/>
          <w:sz w:val="32"/>
          <w:szCs w:val="32"/>
        </w:rPr>
        <w:t>8</w:t>
      </w:r>
      <w:r>
        <w:rPr>
          <w:rFonts w:ascii="FZFangSong-Z02" w:hAnsi="FZFangSong-Z02" w:cs="FZFangSong-Z02"/>
          <w:sz w:val="32"/>
          <w:szCs w:val="32"/>
        </w:rPr>
        <w:t>、机关运行费：</w:t>
      </w:r>
      <w:r>
        <w:rPr>
          <w:rFonts w:hint="eastAsia" w:ascii="FZFangSong-Z02" w:hAnsi="FZFangSong-Z02" w:cs="FZFangSong-Z02"/>
          <w:sz w:val="32"/>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w:t>
      </w:r>
      <w:r>
        <w:rPr>
          <w:sz w:val="32"/>
          <w:szCs w:val="32"/>
        </w:rPr>
        <w:t>其他费用。</w:t>
      </w:r>
    </w:p>
    <w:p>
      <w:pPr>
        <w:ind w:firstLine="640" w:firstLineChars="200"/>
        <w:rPr>
          <w:sz w:val="32"/>
          <w:szCs w:val="32"/>
        </w:rPr>
      </w:pPr>
      <w:r>
        <w:rPr>
          <w:rFonts w:hint="eastAsia"/>
          <w:sz w:val="32"/>
          <w:szCs w:val="32"/>
        </w:rPr>
        <w:t>9、上年结转：指以前年度尚未完成、结转到本年仍按原规定用途继续使用的资金</w:t>
      </w:r>
    </w:p>
    <w:p>
      <w:pPr>
        <w:ind w:firstLine="640" w:firstLineChars="200"/>
        <w:rPr>
          <w:rFonts w:ascii="Times New Roman" w:hAnsi="Times New Roman" w:eastAsia="仿宋" w:cs="Times New Roman"/>
          <w:sz w:val="32"/>
          <w:szCs w:val="32"/>
        </w:rPr>
      </w:pPr>
      <w:r>
        <w:rPr>
          <w:rFonts w:hint="eastAsia"/>
          <w:sz w:val="32"/>
          <w:szCs w:val="32"/>
        </w:rPr>
        <w:t>10、事业单位经营支出：指事业单位在专业业务活动及其辅助活动之外开展非独立核算经营活动发生的支出。</w:t>
      </w:r>
    </w:p>
    <w:p>
      <w:pPr>
        <w:ind w:firstLine="643" w:firstLineChars="200"/>
        <w:rPr>
          <w:rFonts w:ascii="宋体-方正超大字符集" w:hAnsi="宋体-方正超大字符集" w:eastAsia="宋体-方正超大字符集" w:cs="宋体-方正超大字符集"/>
          <w:b/>
          <w:bCs/>
          <w:sz w:val="32"/>
          <w:szCs w:val="32"/>
        </w:rPr>
      </w:pPr>
      <w:r>
        <w:rPr>
          <w:rFonts w:hint="eastAsia" w:ascii="宋体-方正超大字符集" w:hAnsi="宋体-方正超大字符集" w:eastAsia="宋体-方正超大字符集" w:cs="宋体-方正超大字符集"/>
          <w:b/>
          <w:bCs/>
          <w:sz w:val="32"/>
          <w:szCs w:val="32"/>
        </w:rPr>
        <w:t>九、其他需要说明的事项</w:t>
      </w:r>
    </w:p>
    <w:p>
      <w:pPr>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我部门无其他需要说明的事项。</w:t>
      </w: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方正书宋_GBK">
    <w:panose1 w:val="02000000000000000000"/>
    <w:charset w:val="86"/>
    <w:family w:val="script"/>
    <w:pitch w:val="default"/>
    <w:sig w:usb0="A00002BF" w:usb1="38CF7CFA" w:usb2="00082016" w:usb3="00000000" w:csb0="00040001" w:csb1="00000000"/>
  </w:font>
  <w:font w:name="微软雅黑">
    <w:panose1 w:val="020B0503020204020204"/>
    <w:charset w:val="86"/>
    <w:family w:val="roman"/>
    <w:pitch w:val="default"/>
    <w:sig w:usb0="80000287" w:usb1="2ACF3C50" w:usb2="00000016" w:usb3="00000000" w:csb0="0004001F" w:csb1="00000000"/>
  </w:font>
  <w:font w:name="FZFangSong-Z02">
    <w:altName w:val="Arial"/>
    <w:panose1 w:val="00000000000000000000"/>
    <w:charset w:val="00"/>
    <w:family w:val="swiss"/>
    <w:pitch w:val="default"/>
    <w:sig w:usb0="00000000" w:usb1="00000000" w:usb2="00000000" w:usb3="00000000" w:csb0="00000001" w:csb1="00000000"/>
  </w:font>
  <w:font w:name="宋体-方正超大字符集">
    <w:altName w:val="宋体"/>
    <w:panose1 w:val="00000000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3A471A"/>
    <w:multiLevelType w:val="multilevel"/>
    <w:tmpl w:val="2D3A471A"/>
    <w:lvl w:ilvl="0" w:tentative="0">
      <w:start w:val="1"/>
      <w:numFmt w:val="decimal"/>
      <w:lvlText w:val="%1、"/>
      <w:lvlJc w:val="left"/>
      <w:pPr>
        <w:ind w:left="1146" w:hanging="720"/>
      </w:pPr>
      <w:rPr>
        <w:rFonts w:hint="default"/>
      </w:r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abstractNum w:abstractNumId="1">
    <w:nsid w:val="749A0905"/>
    <w:multiLevelType w:val="multilevel"/>
    <w:tmpl w:val="749A0905"/>
    <w:lvl w:ilvl="0" w:tentative="0">
      <w:start w:val="1"/>
      <w:numFmt w:val="decimal"/>
      <w:lvlText w:val="%1、"/>
      <w:lvlJc w:val="left"/>
      <w:pPr>
        <w:ind w:left="1429" w:hanging="720"/>
      </w:pPr>
      <w:rPr>
        <w:rFonts w:hint="default"/>
      </w:r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MyODkxY2ZiMWE4NzEwYmVjNWI1NmRkY2JhMjZkYmIifQ=="/>
  </w:docVars>
  <w:rsids>
    <w:rsidRoot w:val="0027733F"/>
    <w:rsid w:val="00040FBA"/>
    <w:rsid w:val="0004490B"/>
    <w:rsid w:val="00060417"/>
    <w:rsid w:val="000604DF"/>
    <w:rsid w:val="000B6658"/>
    <w:rsid w:val="000C3DF7"/>
    <w:rsid w:val="00102F13"/>
    <w:rsid w:val="0013228E"/>
    <w:rsid w:val="001903E6"/>
    <w:rsid w:val="001A78D6"/>
    <w:rsid w:val="001C0053"/>
    <w:rsid w:val="0021350B"/>
    <w:rsid w:val="0027733F"/>
    <w:rsid w:val="00281745"/>
    <w:rsid w:val="002A1C7D"/>
    <w:rsid w:val="002B5ED9"/>
    <w:rsid w:val="002E4731"/>
    <w:rsid w:val="00300B72"/>
    <w:rsid w:val="003041DF"/>
    <w:rsid w:val="003277EC"/>
    <w:rsid w:val="00383DAA"/>
    <w:rsid w:val="0040131C"/>
    <w:rsid w:val="00407BC7"/>
    <w:rsid w:val="00456D84"/>
    <w:rsid w:val="004B3A60"/>
    <w:rsid w:val="005233D2"/>
    <w:rsid w:val="00531840"/>
    <w:rsid w:val="0061644E"/>
    <w:rsid w:val="00621DB1"/>
    <w:rsid w:val="00657CF5"/>
    <w:rsid w:val="006D7083"/>
    <w:rsid w:val="00704014"/>
    <w:rsid w:val="00734415"/>
    <w:rsid w:val="00750FD8"/>
    <w:rsid w:val="0075485D"/>
    <w:rsid w:val="00783242"/>
    <w:rsid w:val="007B0F2A"/>
    <w:rsid w:val="008003BA"/>
    <w:rsid w:val="00817B30"/>
    <w:rsid w:val="0085745B"/>
    <w:rsid w:val="008B75BE"/>
    <w:rsid w:val="008C091D"/>
    <w:rsid w:val="008F3A6C"/>
    <w:rsid w:val="00902583"/>
    <w:rsid w:val="00A47A51"/>
    <w:rsid w:val="00AE4E1C"/>
    <w:rsid w:val="00C0446E"/>
    <w:rsid w:val="00C1732B"/>
    <w:rsid w:val="00C275F3"/>
    <w:rsid w:val="00C426A0"/>
    <w:rsid w:val="00C7145C"/>
    <w:rsid w:val="00C85FC3"/>
    <w:rsid w:val="00CA3B8F"/>
    <w:rsid w:val="00CD21A9"/>
    <w:rsid w:val="00CF63FB"/>
    <w:rsid w:val="00D620ED"/>
    <w:rsid w:val="00D6403B"/>
    <w:rsid w:val="00DE78F3"/>
    <w:rsid w:val="00DF1812"/>
    <w:rsid w:val="00E03805"/>
    <w:rsid w:val="00E22E50"/>
    <w:rsid w:val="00E555E5"/>
    <w:rsid w:val="00E57005"/>
    <w:rsid w:val="00EB3B35"/>
    <w:rsid w:val="00F171F2"/>
    <w:rsid w:val="00FC112A"/>
    <w:rsid w:val="00FC3626"/>
    <w:rsid w:val="00FD635A"/>
    <w:rsid w:val="00FF6534"/>
    <w:rsid w:val="03BB2F89"/>
    <w:rsid w:val="562239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黑体"/>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rFonts w:ascii="Times New Roman" w:hAnsi="Times New Roman" w:cs="Times New Roman"/>
      <w:sz w:val="18"/>
      <w:szCs w:val="18"/>
    </w:rPr>
  </w:style>
  <w:style w:type="paragraph" w:styleId="3">
    <w:name w:val="header"/>
    <w:basedOn w:val="1"/>
    <w:link w:val="10"/>
    <w:qFormat/>
    <w:uiPriority w:val="0"/>
    <w:pPr>
      <w:pBdr>
        <w:bottom w:val="single" w:color="auto" w:sz="6" w:space="1"/>
      </w:pBdr>
      <w:tabs>
        <w:tab w:val="center" w:pos="4153"/>
        <w:tab w:val="right" w:pos="8306"/>
      </w:tabs>
      <w:snapToGrid w:val="0"/>
      <w:jc w:val="center"/>
    </w:pPr>
    <w:rPr>
      <w:rFonts w:ascii="Times New Roman" w:hAnsi="Times New Roman" w:cs="Times New Roman"/>
      <w:sz w:val="18"/>
      <w:szCs w:val="18"/>
    </w:rPr>
  </w:style>
  <w:style w:type="paragraph" w:styleId="4">
    <w:name w:val="toc 1"/>
    <w:basedOn w:val="1"/>
    <w:next w:val="1"/>
    <w:qFormat/>
    <w:uiPriority w:val="0"/>
    <w:rPr>
      <w:rFonts w:ascii="Times New Roman" w:hAnsi="Times New Roman" w:cs="Times New Roman"/>
      <w:szCs w:val="24"/>
    </w:rPr>
  </w:style>
  <w:style w:type="paragraph" w:styleId="5">
    <w:name w:val="toc 2"/>
    <w:basedOn w:val="1"/>
    <w:next w:val="1"/>
    <w:qFormat/>
    <w:uiPriority w:val="0"/>
    <w:pPr>
      <w:ind w:left="420" w:leftChars="200"/>
    </w:pPr>
    <w:rPr>
      <w:rFonts w:ascii="Times New Roman" w:hAnsi="Times New Roman" w:cs="Times New Roman"/>
      <w:szCs w:val="24"/>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9">
    <w:name w:val="页脚 Char"/>
    <w:link w:val="2"/>
    <w:semiHidden/>
    <w:qFormat/>
    <w:uiPriority w:val="0"/>
    <w:rPr>
      <w:rFonts w:ascii="Times New Roman" w:hAnsi="Times New Roman" w:eastAsia="宋体" w:cs="Times New Roman"/>
      <w:sz w:val="18"/>
      <w:szCs w:val="18"/>
    </w:rPr>
  </w:style>
  <w:style w:type="character" w:customStyle="1" w:styleId="10">
    <w:name w:val="页眉 Char"/>
    <w:link w:val="3"/>
    <w:semiHidden/>
    <w:qFormat/>
    <w:uiPriority w:val="0"/>
    <w:rPr>
      <w:rFonts w:ascii="Times New Roman" w:hAnsi="Times New Roman" w:eastAsia="宋体" w:cs="Times New Roman"/>
      <w:sz w:val="18"/>
      <w:szCs w:val="18"/>
    </w:rPr>
  </w:style>
  <w:style w:type="paragraph" w:customStyle="1" w:styleId="11">
    <w:name w:val="Char"/>
    <w:basedOn w:val="1"/>
    <w:qFormat/>
    <w:uiPriority w:val="0"/>
    <w:rPr>
      <w:rFonts w:ascii="Times New Roman" w:hAnsi="Times New Roman" w:cs="Times New Roman"/>
      <w:szCs w:val="24"/>
    </w:rPr>
  </w:style>
  <w:style w:type="paragraph" w:customStyle="1" w:styleId="12">
    <w:name w:val="Default"/>
    <w:qFormat/>
    <w:uiPriority w:val="0"/>
    <w:pPr>
      <w:widowControl w:val="0"/>
      <w:autoSpaceDE w:val="0"/>
      <w:autoSpaceDN w:val="0"/>
      <w:adjustRightInd w:val="0"/>
    </w:pPr>
    <w:rPr>
      <w:rFonts w:ascii="Times New Roman" w:hAnsi="Times New Roman" w:cs="Times New Roman" w:eastAsiaTheme="minorEastAsia"/>
      <w:color w:val="000000"/>
      <w:sz w:val="24"/>
      <w:szCs w:val="24"/>
      <w:lang w:val="en-US" w:eastAsia="zh-CN" w:bidi="ar-SA"/>
    </w:rPr>
  </w:style>
  <w:style w:type="paragraph" w:styleId="1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Pages>
  <Words>539</Words>
  <Characters>3075</Characters>
  <Lines>25</Lines>
  <Paragraphs>7</Paragraphs>
  <TotalTime>98</TotalTime>
  <ScaleCrop>false</ScaleCrop>
  <LinksUpToDate>false</LinksUpToDate>
  <CharactersWithSpaces>3607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2018-08-10T10:24:00Z</dcterms:created>
  <dc:creator>guest</dc:creator>
  <cp:lastModifiedBy>秋韵</cp:lastModifiedBy>
  <cp:lastPrinted>2018-08-23T07:15:00Z</cp:lastPrinted>
  <dcterms:modified xsi:type="dcterms:W3CDTF">2023-11-21T06:55:42Z</dcterms:modified>
  <dc:title>Administrator</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CB5D620CCE504F4881EE5085FE91B37A_12</vt:lpwstr>
  </property>
</Properties>
</file>