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按照省厅对我县预算公开工作检查后的整改要求，各预算公开单位需按照最新格式修改2018年预算，现将具体操作步骤说明如下：</w:t>
      </w:r>
    </w:p>
    <w:p>
      <w:pPr>
        <w:numPr>
          <w:ilvl w:val="0"/>
          <w:numId w:val="1"/>
        </w:numPr>
        <w:ind w:firstLine="64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sz w:val="32"/>
          <w:szCs w:val="32"/>
          <w:lang w:val="en-US" w:eastAsia="zh-CN"/>
        </w:rPr>
        <w:t>此次省厅最新格式要求为公开3个文件。</w:t>
      </w:r>
      <w:r>
        <w:rPr>
          <w:rFonts w:hint="eastAsia" w:ascii="仿宋_GB2312" w:hAnsi="仿宋_GB2312" w:eastAsia="仿宋_GB2312" w:cs="仿宋_GB2312"/>
          <w:color w:val="FF0000"/>
          <w:sz w:val="32"/>
          <w:szCs w:val="32"/>
          <w:lang w:val="en-US" w:eastAsia="zh-CN"/>
        </w:rPr>
        <w:t>附件1、包括预算公开目录、附件2、公开表格、附件3、公开说明。</w:t>
      </w:r>
    </w:p>
    <w:p>
      <w:pPr>
        <w:numPr>
          <w:ilvl w:val="0"/>
          <w:numId w:val="1"/>
        </w:numPr>
        <w:ind w:firstLine="64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请各单位按照省厅人大的模板进行修改。</w:t>
      </w:r>
    </w:p>
    <w:p>
      <w:pPr>
        <w:numPr>
          <w:ilvl w:val="0"/>
          <w:numId w:val="1"/>
        </w:numPr>
        <w:ind w:firstLine="64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附件1公开目录修改名称为各自单位，其他内容不要修改。</w:t>
      </w:r>
    </w:p>
    <w:p>
      <w:pPr>
        <w:numPr>
          <w:ilvl w:val="0"/>
          <w:numId w:val="1"/>
        </w:numPr>
        <w:ind w:firstLine="64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附件2公开表格需将年初的9张填到表省人大模板中。（空表需有</w:t>
      </w:r>
      <w:r>
        <w:rPr>
          <w:rFonts w:hint="eastAsia" w:ascii="仿宋_GB2312" w:hAnsi="仿宋_GB2312" w:eastAsia="仿宋_GB2312" w:cs="仿宋_GB2312"/>
          <w:color w:val="FF0000"/>
          <w:sz w:val="32"/>
          <w:szCs w:val="32"/>
          <w:lang w:val="en-US" w:eastAsia="zh-CN"/>
        </w:rPr>
        <w:t>“无某某预算，空表列示。”</w:t>
      </w:r>
      <w:r>
        <w:rPr>
          <w:rFonts w:hint="eastAsia" w:ascii="仿宋_GB2312" w:hAnsi="仿宋_GB2312" w:eastAsia="仿宋_GB2312" w:cs="仿宋_GB2312"/>
          <w:color w:val="auto"/>
          <w:sz w:val="32"/>
          <w:szCs w:val="32"/>
          <w:lang w:val="en-US" w:eastAsia="zh-CN"/>
        </w:rPr>
        <w:t>文字表述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p>
    <w:p>
      <w:pPr>
        <w:numPr>
          <w:ilvl w:val="0"/>
          <w:numId w:val="1"/>
        </w:numPr>
        <w:ind w:firstLine="64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附件3公开说明必须按照省厅人大的模板将年初公开的各项说明对应复制到模板中（</w:t>
      </w:r>
      <w:r>
        <w:rPr>
          <w:rFonts w:hint="eastAsia" w:ascii="仿宋_GB2312" w:hAnsi="仿宋_GB2312" w:eastAsia="仿宋_GB2312" w:cs="仿宋_GB2312"/>
          <w:color w:val="FF0000"/>
          <w:sz w:val="32"/>
          <w:szCs w:val="32"/>
          <w:lang w:val="en-US" w:eastAsia="zh-CN"/>
        </w:rPr>
        <w:t>包括文字及对应表格</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）,不要修改结构。</w:t>
      </w:r>
    </w:p>
    <w:p>
      <w:pPr>
        <w:numPr>
          <w:ilvl w:val="0"/>
          <w:numId w:val="1"/>
        </w:numPr>
        <w:ind w:firstLine="640"/>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FF0000"/>
          <w:sz w:val="32"/>
          <w:szCs w:val="32"/>
          <w:lang w:val="en-US" w:eastAsia="zh-CN"/>
        </w:rPr>
        <w:t>各单位注意在修改时，各项数据必须与预算文本的内容一致。请再三核实后填报，如整改后检查出不一致的情况，省厅将按弄虚作假性质处理。</w:t>
      </w:r>
    </w:p>
    <w:p>
      <w:pPr>
        <w:numPr>
          <w:ilvl w:val="0"/>
          <w:numId w:val="0"/>
        </w:numPr>
        <w:ind w:firstLine="64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此次整改涉及到政府门户网站预决算公开板块改版，各单位</w:t>
      </w:r>
      <w:r>
        <w:rPr>
          <w:rFonts w:hint="eastAsia" w:ascii="仿宋_GB2312" w:hAnsi="仿宋_GB2312" w:eastAsia="仿宋_GB2312" w:cs="仿宋_GB2312"/>
          <w:color w:val="FF0000"/>
          <w:sz w:val="32"/>
          <w:szCs w:val="32"/>
          <w:lang w:val="en-US" w:eastAsia="zh-CN"/>
        </w:rPr>
        <w:t>先将新格式要求的电子版修改好后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，待政府门户网站预决算公开板块维护好后，</w:t>
      </w:r>
      <w:r>
        <w:rPr>
          <w:rFonts w:hint="eastAsia" w:ascii="仿宋_GB2312" w:hAnsi="仿宋_GB2312" w:eastAsia="仿宋_GB2312" w:cs="仿宋_GB2312"/>
          <w:color w:val="FF0000"/>
          <w:sz w:val="32"/>
          <w:szCs w:val="32"/>
          <w:lang w:val="en-US" w:eastAsia="zh-CN"/>
        </w:rPr>
        <w:t>删除2018年初公开的信息，上传最新格式的电子版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FF0000"/>
          <w:sz w:val="32"/>
          <w:szCs w:val="32"/>
          <w:lang w:val="en-US" w:eastAsia="zh-CN"/>
        </w:rPr>
        <w:t>注意上传日期为2018年3月1日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p>
    <w:p>
      <w:pPr>
        <w:numPr>
          <w:ilvl w:val="0"/>
          <w:numId w:val="0"/>
        </w:numPr>
        <w:ind w:firstLine="64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此次整改工作省厅要求</w:t>
      </w:r>
      <w:r>
        <w:rPr>
          <w:rFonts w:hint="eastAsia" w:ascii="仿宋_GB2312" w:hAnsi="仿宋_GB2312" w:eastAsia="仿宋_GB2312" w:cs="仿宋_GB2312"/>
          <w:color w:val="FF0000"/>
          <w:sz w:val="32"/>
          <w:szCs w:val="32"/>
          <w:lang w:val="en-US" w:eastAsia="zh-CN"/>
        </w:rPr>
        <w:t>最迟8月19日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完成，省厅将对我县整改工作进行检查打分，打分结果将影响我县一般性转移支付。全省将会对所有县区进行排名，名次靠后的县区将会通报政府并影响县级领导班子考核结果。请各单位高度重视，抓紧时间整改，先修改好电子版，等门户网站改版后抓紧时间上传。</w:t>
      </w:r>
    </w:p>
    <w:p>
      <w:pPr>
        <w:numPr>
          <w:ilvl w:val="0"/>
          <w:numId w:val="0"/>
        </w:numPr>
        <w:ind w:firstLine="64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门户网站将改版成市政府公开专栏样式。各单位上传后检查是否公开到对应单位。</w:t>
      </w:r>
      <w:bookmarkStart w:id="0" w:name="_GoBack"/>
      <w:bookmarkEnd w:id="0"/>
    </w:p>
    <w:p>
      <w:pPr>
        <w:numPr>
          <w:ilvl w:val="0"/>
          <w:numId w:val="0"/>
        </w:numPr>
        <w:ind w:firstLine="64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drawing>
          <wp:inline distT="0" distB="0" distL="114300" distR="114300">
            <wp:extent cx="5270500" cy="3235960"/>
            <wp:effectExtent l="0" t="0" r="2540" b="10160"/>
            <wp:docPr id="2" name="图片 2" descr="市政府预决算公开板块样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市政府预决算公开板块样式"/>
                    <pic:cNvPicPr>
                      <a:picLocks noChangeAspect="1"/>
                    </pic:cNvPicPr>
                  </pic:nvPicPr>
                  <pic:blipFill>
                    <a:blip r:embed="rId4"/>
                    <a:stretch>
                      <a:fillRect/>
                    </a:stretch>
                  </pic:blipFill>
                  <pic:spPr>
                    <a:xfrm>
                      <a:off x="0" y="0"/>
                      <a:ext cx="5270500" cy="323596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微软雅黑"/>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74D20F"/>
    <w:multiLevelType w:val="singleLevel"/>
    <w:tmpl w:val="5B74D20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092465"/>
    <w:rsid w:val="183A4642"/>
    <w:rsid w:val="18AF497B"/>
    <w:rsid w:val="2012173E"/>
    <w:rsid w:val="22A54551"/>
    <w:rsid w:val="2F0A2600"/>
    <w:rsid w:val="30936367"/>
    <w:rsid w:val="3B43019B"/>
    <w:rsid w:val="3F3A44D5"/>
    <w:rsid w:val="42C94E7D"/>
    <w:rsid w:val="495D1A57"/>
    <w:rsid w:val="4F6F3B7C"/>
    <w:rsid w:val="55A06DCE"/>
    <w:rsid w:val="574A6CAF"/>
    <w:rsid w:val="5D413C6D"/>
    <w:rsid w:val="61C52F44"/>
    <w:rsid w:val="695E114E"/>
    <w:rsid w:val="6F5D37A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2018-08-16T02:22:13Z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