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bookmarkStart w:id="0" w:name="bookmark2"/>
      <w:bookmarkStart w:id="1" w:name="bookmark0"/>
      <w:bookmarkStart w:id="2" w:name="bookmark1"/>
      <w:bookmarkStart w:id="22" w:name="_GoBack"/>
      <w:bookmarkEnd w:id="22"/>
      <w:r>
        <w:rPr>
          <w:rFonts w:hint="eastAsia" w:ascii="方正小标宋简体" w:hAnsi="方正小标宋简体" w:eastAsia="方正小标宋简体" w:cs="方正小标宋简体"/>
          <w:color w:val="000000"/>
          <w:spacing w:val="0"/>
          <w:w w:val="100"/>
          <w:position w:val="0"/>
          <w:sz w:val="44"/>
          <w:szCs w:val="44"/>
        </w:rPr>
        <w:t>怀来县</w:t>
      </w:r>
      <w:bookmarkEnd w:id="0"/>
      <w:r>
        <w:rPr>
          <w:rFonts w:hint="eastAsia" w:ascii="方正小标宋简体" w:hAnsi="方正小标宋简体" w:eastAsia="方正小标宋简体" w:cs="方正小标宋简体"/>
          <w:color w:val="000000"/>
          <w:spacing w:val="0"/>
          <w:w w:val="100"/>
          <w:position w:val="0"/>
          <w:sz w:val="44"/>
          <w:szCs w:val="44"/>
          <w:lang w:val="en-US" w:eastAsia="zh-CN"/>
        </w:rPr>
        <w:t>审计局</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sz w:val="44"/>
          <w:szCs w:val="44"/>
        </w:rPr>
      </w:pPr>
      <w:bookmarkStart w:id="3" w:name="bookmark3"/>
      <w:r>
        <w:rPr>
          <w:rFonts w:hint="eastAsia" w:ascii="方正小标宋简体" w:hAnsi="方正小标宋简体" w:eastAsia="方正小标宋简体" w:cs="方正小标宋简体"/>
          <w:color w:val="000000"/>
          <w:spacing w:val="0"/>
          <w:w w:val="100"/>
          <w:position w:val="0"/>
          <w:sz w:val="44"/>
          <w:szCs w:val="44"/>
        </w:rPr>
        <w:t>2021年度部门整体支出绩效自评报告</w:t>
      </w:r>
      <w:bookmarkEnd w:id="1"/>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sz w:val="32"/>
          <w:szCs w:val="32"/>
          <w:lang w:val="en-US" w:eastAsia="zh-CN"/>
        </w:rPr>
      </w:pPr>
      <w:r>
        <w:rPr>
          <w:rFonts w:hint="eastAsia" w:ascii="黑体" w:hAnsi="黑体" w:eastAsia="黑体" w:cs="黑体"/>
          <w:sz w:val="32"/>
          <w:szCs w:val="32"/>
          <w:lang w:val="en-US" w:eastAsia="zh-CN"/>
        </w:rPr>
        <w:t>一、部门概况</w:t>
      </w:r>
    </w:p>
    <w:p>
      <w:pPr>
        <w:pStyle w:val="7"/>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line="510" w:lineRule="exact"/>
        <w:ind w:left="0" w:right="0" w:firstLine="580"/>
        <w:jc w:val="both"/>
        <w:textAlignment w:val="auto"/>
        <w:rPr>
          <w:rFonts w:hint="eastAsia" w:ascii="楷体" w:hAnsi="楷体" w:eastAsia="楷体" w:cs="楷体"/>
          <w:kern w:val="2"/>
          <w:sz w:val="32"/>
          <w:szCs w:val="32"/>
          <w:u w:val="none"/>
          <w:shd w:val="clear"/>
          <w:lang w:val="en-US" w:eastAsia="zh-CN" w:bidi="ar-SA"/>
        </w:rPr>
      </w:pPr>
      <w:r>
        <w:rPr>
          <w:rFonts w:hint="eastAsia" w:ascii="楷体" w:hAnsi="楷体" w:eastAsia="楷体" w:cs="楷体"/>
          <w:kern w:val="2"/>
          <w:sz w:val="32"/>
          <w:szCs w:val="32"/>
          <w:u w:val="none"/>
          <w:shd w:val="clear"/>
          <w:lang w:val="en-US" w:eastAsia="zh-CN" w:bidi="ar-SA"/>
        </w:rPr>
        <w:t>（一）根据《怀来县审计局职能配置、内设机构和人员编制规定》（怀来办字〔2019〕6号）。</w:t>
      </w:r>
    </w:p>
    <w:p>
      <w:pPr>
        <w:pStyle w:val="7"/>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line="510" w:lineRule="exact"/>
        <w:ind w:left="0" w:right="0" w:firstLine="580"/>
        <w:jc w:val="both"/>
        <w:textAlignment w:val="auto"/>
        <w:rPr>
          <w:rFonts w:hint="default" w:ascii="仿宋_GB2312" w:hAnsi="Calibri" w:eastAsia="仿宋_GB2312" w:cs="Times New Roman"/>
          <w:kern w:val="2"/>
          <w:sz w:val="32"/>
          <w:szCs w:val="32"/>
          <w:u w:val="none"/>
          <w:shd w:val="clear"/>
          <w:lang w:val="en-US" w:eastAsia="zh-CN" w:bidi="ar-SA"/>
        </w:rPr>
      </w:pPr>
      <w:r>
        <w:rPr>
          <w:rFonts w:hint="eastAsia" w:ascii="仿宋" w:hAnsi="仿宋" w:eastAsia="仿宋" w:cs="仿宋"/>
          <w:b/>
          <w:bCs/>
          <w:kern w:val="2"/>
          <w:sz w:val="32"/>
          <w:szCs w:val="32"/>
          <w:u w:val="none"/>
          <w:shd w:val="clear"/>
          <w:lang w:val="en-US" w:eastAsia="zh-CN" w:bidi="ar-SA"/>
        </w:rPr>
        <w:t>1.主要职责：</w:t>
      </w:r>
      <w:r>
        <w:rPr>
          <w:rFonts w:hint="eastAsia" w:ascii="仿宋_GB2312" w:hAnsi="Calibri" w:eastAsia="仿宋_GB2312" w:cs="Times New Roman"/>
          <w:kern w:val="2"/>
          <w:sz w:val="32"/>
          <w:szCs w:val="32"/>
          <w:u w:val="none"/>
          <w:shd w:val="clear"/>
          <w:lang w:val="en-US" w:eastAsia="zh-CN" w:bidi="ar-SA"/>
        </w:rPr>
        <w:t>主管全县审计工作。负责对全县财政收支和依法属于审计监督范围的财务收支的真实、合法和效益进行审计监督；贯彻执行审计法律、法规和方针、政策，制定并组织实施全县年度审计计划；</w:t>
      </w:r>
      <w:r>
        <w:rPr>
          <w:rFonts w:hint="default" w:ascii="仿宋_GB2312" w:hAnsi="Calibri" w:eastAsia="仿宋_GB2312" w:cs="Times New Roman"/>
          <w:kern w:val="2"/>
          <w:sz w:val="32"/>
          <w:szCs w:val="32"/>
          <w:u w:val="none"/>
          <w:shd w:val="clear"/>
          <w:lang w:val="en-US" w:eastAsia="zh-CN" w:bidi="ar-SA"/>
        </w:rPr>
        <w:t>向中共怀来县委审计委员会提出年度先本级预算执行和其他财政收支情况审计报告</w:t>
      </w:r>
      <w:r>
        <w:rPr>
          <w:rFonts w:hint="eastAsia" w:ascii="仿宋_GB2312" w:hAnsi="Calibri" w:eastAsia="仿宋_GB2312" w:cs="Times New Roman"/>
          <w:kern w:val="2"/>
          <w:sz w:val="32"/>
          <w:szCs w:val="32"/>
          <w:u w:val="none"/>
          <w:shd w:val="clear"/>
          <w:lang w:val="en-US" w:eastAsia="zh-CN" w:bidi="ar-SA"/>
        </w:rPr>
        <w:t>；按规定对县管党政主要领导干部及其他单位主要负责人实施经济责任审计和自然资源资产离任审计；组织实施对财经法律法规、规章、政策和宏观调控措施执行情况、财政预算管理及国有资产管理使用等与财政收支有关的特定事项进行专项审计调查；完成县委、县政府和市审计局交办的其他任务。</w:t>
      </w:r>
    </w:p>
    <w:p>
      <w:pPr>
        <w:pStyle w:val="7"/>
        <w:keepNext w:val="0"/>
        <w:keepLines w:val="0"/>
        <w:pageBreakBefore w:val="0"/>
        <w:widowControl w:val="0"/>
        <w:numPr>
          <w:ilvl w:val="0"/>
          <w:numId w:val="0"/>
        </w:numPr>
        <w:shd w:val="clear" w:color="auto" w:fill="auto"/>
        <w:tabs>
          <w:tab w:val="left" w:pos="996"/>
        </w:tabs>
        <w:kinsoku/>
        <w:wordWrap/>
        <w:overflowPunct/>
        <w:topLinePunct w:val="0"/>
        <w:autoSpaceDE/>
        <w:autoSpaceDN/>
        <w:bidi w:val="0"/>
        <w:adjustRightInd/>
        <w:snapToGrid/>
        <w:spacing w:before="0" w:line="510" w:lineRule="exact"/>
        <w:ind w:right="0" w:rightChars="0" w:firstLine="643" w:firstLineChars="200"/>
        <w:jc w:val="both"/>
        <w:textAlignment w:val="auto"/>
        <w:rPr>
          <w:rFonts w:hint="eastAsia" w:ascii="仿宋_GB2312" w:hAnsi="Calibri" w:eastAsia="仿宋_GB2312" w:cs="Times New Roman"/>
          <w:kern w:val="2"/>
          <w:sz w:val="32"/>
          <w:szCs w:val="32"/>
          <w:u w:val="none"/>
          <w:shd w:val="clear"/>
          <w:lang w:val="en-US" w:eastAsia="zh-CN" w:bidi="ar-SA"/>
        </w:rPr>
      </w:pPr>
      <w:r>
        <w:rPr>
          <w:rFonts w:hint="eastAsia" w:ascii="仿宋_GB2312" w:hAnsi="Calibri" w:eastAsia="仿宋_GB2312" w:cs="Times New Roman"/>
          <w:b/>
          <w:bCs/>
          <w:kern w:val="2"/>
          <w:sz w:val="32"/>
          <w:szCs w:val="32"/>
          <w:u w:val="none"/>
          <w:shd w:val="clear"/>
          <w:lang w:val="en-US" w:eastAsia="zh-CN" w:bidi="ar-SA"/>
        </w:rPr>
        <w:t>2.内设机构：</w:t>
      </w:r>
      <w:r>
        <w:rPr>
          <w:rFonts w:hint="eastAsia" w:ascii="仿宋_GB2312" w:hAnsi="Calibri" w:eastAsia="仿宋_GB2312" w:cs="Times New Roman"/>
          <w:kern w:val="2"/>
          <w:sz w:val="32"/>
          <w:szCs w:val="32"/>
          <w:u w:val="none"/>
          <w:shd w:val="clear"/>
          <w:lang w:val="en-US" w:eastAsia="zh-CN" w:bidi="ar-SA"/>
        </w:rPr>
        <w:t>县委审计委员会办公室（秘书股）；办公室；经济责任审计股（自然资源审计股）；行政事业审计股；综合业务审计股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Calibri"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3.人员编制：</w:t>
      </w:r>
      <w:r>
        <w:rPr>
          <w:rFonts w:hint="eastAsia" w:ascii="仿宋_GB2312" w:hAnsi="Calibri" w:eastAsia="仿宋_GB2312" w:cs="Times New Roman"/>
          <w:kern w:val="2"/>
          <w:sz w:val="32"/>
          <w:szCs w:val="32"/>
          <w:lang w:val="en-US" w:eastAsia="zh-CN" w:bidi="ar-SA"/>
        </w:rPr>
        <w:t>截止2021年12月底，我局年末行政编制人数12人，其中科级领导职数3名，股级领导职数5名。年末实有在职</w:t>
      </w:r>
      <w:r>
        <w:rPr>
          <w:rFonts w:hint="eastAsia" w:ascii="仿宋_GB2312" w:eastAsia="仿宋_GB2312" w:cs="Times New Roman"/>
          <w:kern w:val="2"/>
          <w:sz w:val="32"/>
          <w:szCs w:val="32"/>
          <w:lang w:val="en-US" w:eastAsia="zh-CN" w:bidi="ar-SA"/>
        </w:rPr>
        <w:t>人员</w:t>
      </w:r>
      <w:r>
        <w:rPr>
          <w:rFonts w:hint="eastAsia" w:ascii="仿宋_GB2312" w:hAnsi="Calibri" w:eastAsia="仿宋_GB2312" w:cs="Times New Roman"/>
          <w:kern w:val="2"/>
          <w:sz w:val="32"/>
          <w:szCs w:val="32"/>
          <w:lang w:val="en-US" w:eastAsia="zh-CN" w:bidi="ar-SA"/>
        </w:rPr>
        <w:t>19人，其中：行政人员16人，含未有编制的2人。工勤人员3人，含未有编制的2人。全部是全额预算拨款；退休人员15人；遗属2人。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楷体" w:hAnsi="楷体" w:eastAsia="楷体" w:cs="楷体"/>
          <w:kern w:val="2"/>
          <w:sz w:val="32"/>
          <w:szCs w:val="32"/>
          <w:u w:val="none"/>
          <w:shd w:val="clear" w:color="auto" w:fill="auto"/>
          <w:lang w:val="en-US" w:eastAsia="zh-CN" w:bidi="ar-SA"/>
        </w:rPr>
        <w:t>（二）2021年项目完成情况。</w:t>
      </w:r>
      <w:r>
        <w:rPr>
          <w:rFonts w:hint="eastAsia" w:ascii="仿宋_GB2312" w:eastAsia="仿宋_GB2312" w:cs="Times New Roman"/>
          <w:kern w:val="2"/>
          <w:sz w:val="32"/>
          <w:szCs w:val="32"/>
          <w:lang w:val="en-US" w:eastAsia="zh-CN" w:bidi="ar-SA"/>
        </w:rPr>
        <w:t>我局</w:t>
      </w:r>
      <w:r>
        <w:rPr>
          <w:rFonts w:hint="eastAsia" w:ascii="仿宋_GB2312" w:hAnsi="Calibri" w:eastAsia="仿宋_GB2312" w:cs="Times New Roman"/>
          <w:kern w:val="2"/>
          <w:sz w:val="32"/>
          <w:szCs w:val="32"/>
          <w:lang w:val="en-US" w:eastAsia="zh-CN" w:bidi="ar-SA"/>
        </w:rPr>
        <w:t>对</w:t>
      </w:r>
      <w:r>
        <w:rPr>
          <w:rFonts w:hint="eastAsia" w:ascii="仿宋_GB2312" w:eastAsia="仿宋_GB2312" w:cs="Times New Roman"/>
          <w:kern w:val="2"/>
          <w:sz w:val="32"/>
          <w:szCs w:val="32"/>
          <w:lang w:val="en-US" w:eastAsia="zh-CN" w:bidi="ar-SA"/>
        </w:rPr>
        <w:t>四项</w:t>
      </w:r>
      <w:r>
        <w:rPr>
          <w:rFonts w:hint="eastAsia" w:ascii="仿宋_GB2312" w:hAnsi="Calibri" w:eastAsia="仿宋_GB2312" w:cs="Times New Roman"/>
          <w:kern w:val="2"/>
          <w:sz w:val="32"/>
          <w:szCs w:val="32"/>
          <w:lang w:val="en-US" w:eastAsia="zh-CN" w:bidi="ar-SA"/>
        </w:rPr>
        <w:t>县重点工程开展审计</w:t>
      </w:r>
      <w:r>
        <w:rPr>
          <w:rFonts w:hint="eastAsia" w:ascii="仿宋_GB2312" w:eastAsia="仿宋_GB2312" w:cs="Times New Roman"/>
          <w:kern w:val="2"/>
          <w:sz w:val="32"/>
          <w:szCs w:val="32"/>
          <w:lang w:val="en-US" w:eastAsia="zh-CN" w:bidi="ar-SA"/>
        </w:rPr>
        <w:t>工作。一是</w:t>
      </w:r>
      <w:r>
        <w:rPr>
          <w:rFonts w:hint="eastAsia" w:ascii="仿宋_GB2312" w:hAnsi="Calibri" w:eastAsia="仿宋_GB2312" w:cs="Times New Roman"/>
          <w:kern w:val="2"/>
          <w:sz w:val="32"/>
          <w:szCs w:val="32"/>
          <w:lang w:val="en-US" w:eastAsia="zh-CN" w:bidi="ar-SA"/>
        </w:rPr>
        <w:t>委托第三方中介机构完成对京北恒大国际文化城公园路和西湾路、广通路下穿铁路桥跟踪审计</w:t>
      </w:r>
      <w:r>
        <w:rPr>
          <w:rFonts w:hint="eastAsia" w:ascii="仿宋_GB2312" w:eastAsia="仿宋_GB2312" w:cs="Times New Roman"/>
          <w:kern w:val="2"/>
          <w:sz w:val="32"/>
          <w:szCs w:val="32"/>
          <w:lang w:val="en-US" w:eastAsia="zh-CN" w:bidi="ar-SA"/>
        </w:rPr>
        <w:t>；二是</w:t>
      </w:r>
      <w:r>
        <w:rPr>
          <w:rFonts w:hint="eastAsia" w:ascii="仿宋_GB2312" w:hAnsi="Calibri" w:eastAsia="仿宋_GB2312" w:cs="Times New Roman"/>
          <w:kern w:val="2"/>
          <w:sz w:val="32"/>
          <w:szCs w:val="32"/>
          <w:lang w:val="en-US" w:eastAsia="zh-CN" w:bidi="ar-SA"/>
        </w:rPr>
        <w:t>对河北怀来官厅水库国家湿地公园建设项目（一期）施工单位的付款及开具工程票据情况审计</w:t>
      </w:r>
      <w:r>
        <w:rPr>
          <w:rFonts w:hint="eastAsia" w:ascii="仿宋_GB2312" w:eastAsia="仿宋_GB2312" w:cs="Times New Roman"/>
          <w:kern w:val="2"/>
          <w:sz w:val="32"/>
          <w:szCs w:val="32"/>
          <w:lang w:val="en-US" w:eastAsia="zh-CN" w:bidi="ar-SA"/>
        </w:rPr>
        <w:t>；三是</w:t>
      </w:r>
      <w:r>
        <w:rPr>
          <w:rFonts w:hint="eastAsia" w:ascii="仿宋_GB2312" w:hAnsi="Calibri" w:eastAsia="仿宋_GB2312" w:cs="Times New Roman"/>
          <w:kern w:val="2"/>
          <w:sz w:val="32"/>
          <w:szCs w:val="32"/>
          <w:lang w:val="en-US" w:eastAsia="zh-CN" w:bidi="ar-SA"/>
        </w:rPr>
        <w:t>对怀来县金旭热力有限公司桥南片区供热煤改电项目2020年7月1日至2021年7月31日采暖季收支情况审计</w:t>
      </w:r>
      <w:r>
        <w:rPr>
          <w:rFonts w:hint="eastAsia" w:ascii="仿宋_GB2312" w:eastAsia="仿宋_GB2312" w:cs="Times New Roman"/>
          <w:kern w:val="2"/>
          <w:sz w:val="32"/>
          <w:szCs w:val="32"/>
          <w:lang w:val="en-US" w:eastAsia="zh-CN" w:bidi="ar-SA"/>
        </w:rPr>
        <w:t>；四是</w:t>
      </w:r>
      <w:r>
        <w:rPr>
          <w:rFonts w:hint="eastAsia" w:ascii="仿宋_GB2312" w:hAnsi="Calibri" w:eastAsia="仿宋_GB2312" w:cs="Times New Roman"/>
          <w:kern w:val="2"/>
          <w:sz w:val="32"/>
          <w:szCs w:val="32"/>
          <w:lang w:val="en-US" w:eastAsia="zh-CN" w:bidi="ar-SA"/>
        </w:rPr>
        <w:t>对新建沙中项目、东八里乡北部矿山立面修复项目进行跟踪审计。我局严格要求第三方中介审计机构对项目进行全过程跟踪审计，采取每月报进度、每季度听汇报、现场查看等方式对第三方的工作进行监督检查，确保项目建设优质高效。</w:t>
      </w:r>
    </w:p>
    <w:p>
      <w:pPr>
        <w:pStyle w:val="7"/>
        <w:keepNext w:val="0"/>
        <w:keepLines w:val="0"/>
        <w:pageBreakBefore w:val="0"/>
        <w:widowControl w:val="0"/>
        <w:numPr>
          <w:ilvl w:val="0"/>
          <w:numId w:val="0"/>
        </w:numPr>
        <w:shd w:val="clear" w:color="auto" w:fill="auto"/>
        <w:tabs>
          <w:tab w:val="left" w:pos="996"/>
        </w:tabs>
        <w:kinsoku/>
        <w:wordWrap/>
        <w:overflowPunct/>
        <w:topLinePunct w:val="0"/>
        <w:autoSpaceDE/>
        <w:autoSpaceDN/>
        <w:bidi w:val="0"/>
        <w:adjustRightInd/>
        <w:snapToGrid/>
        <w:spacing w:before="0" w:line="510" w:lineRule="exact"/>
        <w:ind w:left="580" w:leftChars="0" w:right="0" w:rightChars="0"/>
        <w:jc w:val="both"/>
        <w:textAlignment w:val="auto"/>
        <w:rPr>
          <w:rFonts w:hint="eastAsia" w:ascii="楷体" w:hAnsi="楷体" w:eastAsia="楷体" w:cs="楷体"/>
          <w:kern w:val="2"/>
          <w:sz w:val="32"/>
          <w:szCs w:val="32"/>
          <w:u w:val="none"/>
          <w:shd w:val="clear" w:color="auto" w:fill="auto"/>
          <w:lang w:val="en-US" w:eastAsia="zh-CN" w:bidi="ar-SA"/>
        </w:rPr>
      </w:pPr>
      <w:r>
        <w:rPr>
          <w:rFonts w:hint="eastAsia" w:ascii="楷体" w:hAnsi="楷体" w:eastAsia="楷体" w:cs="楷体"/>
          <w:kern w:val="2"/>
          <w:sz w:val="32"/>
          <w:szCs w:val="32"/>
          <w:u w:val="none"/>
          <w:shd w:val="clear" w:color="auto" w:fill="auto"/>
          <w:lang w:val="en-US" w:eastAsia="zh-CN" w:bidi="ar-SA"/>
        </w:rPr>
        <w:t>（三）财务收支情况</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1、</w:t>
      </w:r>
      <w:r>
        <w:rPr>
          <w:rFonts w:hint="eastAsia" w:ascii="仿宋_GB2312" w:hAnsi="Calibri" w:eastAsia="仿宋_GB2312" w:cs="Times New Roman"/>
          <w:b/>
          <w:bCs/>
          <w:kern w:val="2"/>
          <w:sz w:val="32"/>
          <w:szCs w:val="32"/>
          <w:lang w:val="en-US" w:eastAsia="zh-CN" w:bidi="ar-SA"/>
        </w:rPr>
        <w:t>全年预算收支情况。</w:t>
      </w:r>
      <w:r>
        <w:rPr>
          <w:rFonts w:hint="eastAsia" w:ascii="仿宋_GB2312" w:hAnsi="Calibri" w:eastAsia="仿宋_GB2312" w:cs="Times New Roman"/>
          <w:kern w:val="2"/>
          <w:sz w:val="32"/>
          <w:szCs w:val="32"/>
          <w:lang w:val="en-US" w:eastAsia="zh-CN" w:bidi="ar-SA"/>
        </w:rPr>
        <w:t>2021年度我局经费收入4022375.3元，上年结转306614.34元，全年经费支出4328989.64元。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2、</w:t>
      </w:r>
      <w:r>
        <w:rPr>
          <w:rFonts w:hint="eastAsia" w:ascii="仿宋_GB2312" w:hAnsi="Calibri" w:eastAsia="仿宋_GB2312" w:cs="Times New Roman"/>
          <w:b/>
          <w:bCs/>
          <w:kern w:val="2"/>
          <w:sz w:val="32"/>
          <w:szCs w:val="32"/>
          <w:lang w:val="en-US" w:eastAsia="zh-CN" w:bidi="ar-SA"/>
        </w:rPr>
        <w:t>全年支出明细。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基本支出3,175,188.98元。其中：①工资福利支出2,496,017.20元；②商品和服务支出总计254,511.13元，③对个人和家庭的补助424,660.65元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项目支出合计1,135,800.66元。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项目支出抗击新型冠状病毒疫情专项经费18000元。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3、</w:t>
      </w:r>
      <w:r>
        <w:rPr>
          <w:rFonts w:hint="eastAsia" w:ascii="仿宋_GB2312" w:hAnsi="Calibri" w:eastAsia="仿宋_GB2312" w:cs="Times New Roman"/>
          <w:b/>
          <w:bCs/>
          <w:kern w:val="2"/>
          <w:sz w:val="32"/>
          <w:szCs w:val="32"/>
          <w:lang w:val="en-US" w:eastAsia="zh-CN" w:bidi="ar-SA"/>
        </w:rPr>
        <w:t>“三公经费”列支项目。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我局本年无出国人员，费用为零。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公务用车运行维护费，我局无公务用公车,运行维护费用为零。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业务招待费:我局2021年支出业务接待费21960元，较2020业务招待费26805元，减少了4845元。主要原因是：压缩招待费开支。全年共招待16批次，共166人次。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4、</w:t>
      </w:r>
      <w:r>
        <w:rPr>
          <w:rFonts w:hint="eastAsia" w:ascii="仿宋_GB2312" w:hAnsi="Calibri" w:eastAsia="仿宋_GB2312" w:cs="Times New Roman"/>
          <w:b/>
          <w:bCs/>
          <w:kern w:val="2"/>
          <w:sz w:val="32"/>
          <w:szCs w:val="32"/>
          <w:lang w:val="en-US" w:eastAsia="zh-CN" w:bidi="ar-SA"/>
        </w:rPr>
        <w:t>政府采购情况说明。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2021年我局年初政府采购计划300000元。全年实际支付政府采购资金355283.95元,占支出计划的86.81%。其中:1、货物类26170元；2、服务类329113.95元。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5、</w:t>
      </w:r>
      <w:r>
        <w:rPr>
          <w:rFonts w:hint="eastAsia" w:ascii="仿宋_GB2312" w:hAnsi="Calibri" w:eastAsia="仿宋_GB2312" w:cs="Times New Roman"/>
          <w:b/>
          <w:bCs/>
          <w:kern w:val="2"/>
          <w:sz w:val="32"/>
          <w:szCs w:val="32"/>
          <w:lang w:val="en-US" w:eastAsia="zh-CN" w:bidi="ar-SA"/>
        </w:rPr>
        <w:t>固定资产情况。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年初固定资产311,757元，年末固定资产297,950.00元。总计减少13807元。本年度处置报废固定资产36747元，报废收入450元，本年累计折旧194,053.10元。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二、部门整体</w:t>
      </w:r>
      <w:r>
        <w:rPr>
          <w:rFonts w:hint="eastAsia" w:ascii="黑体" w:hAnsi="黑体" w:eastAsia="黑体" w:cs="黑体"/>
          <w:sz w:val="32"/>
          <w:szCs w:val="32"/>
        </w:rPr>
        <w:t>评价</w:t>
      </w:r>
      <w:r>
        <w:rPr>
          <w:rFonts w:hint="eastAsia" w:ascii="黑体" w:hAnsi="黑体" w:eastAsia="黑体" w:cs="黑体"/>
          <w:sz w:val="32"/>
          <w:szCs w:val="32"/>
          <w:lang w:eastAsia="zh-CN"/>
        </w:rPr>
        <w:t>工作的</w:t>
      </w:r>
      <w:r>
        <w:rPr>
          <w:rFonts w:hint="eastAsia" w:ascii="黑体" w:hAnsi="黑体" w:eastAsia="黑体" w:cs="黑体"/>
          <w:sz w:val="32"/>
          <w:szCs w:val="32"/>
        </w:rPr>
        <w:t>开展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left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绩效评价目的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严格遵守各项财经纪律和财务管理制度，及时公开预决算自觉接受财政和社会监督。加强财务管理，强化预算编制和执行，有效实施内部监督和控制，保证会计资料的真实性和完整性。加强财产物资管理，保障各项工作正常开展和目标任务完成。整体支出平稳，较好的实现社会效益和可持续效益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（二）绩效评价实施过程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bookmarkStart w:id="4" w:name="_Toc384200719"/>
      <w:bookmarkStart w:id="5" w:name="_Toc393036140"/>
      <w:r>
        <w:rPr>
          <w:rFonts w:hint="eastAsia" w:ascii="仿宋_GB2312" w:hAnsi="Calibri" w:eastAsia="仿宋_GB2312" w:cs="Times New Roman"/>
          <w:kern w:val="2"/>
          <w:sz w:val="32"/>
          <w:szCs w:val="32"/>
          <w:lang w:val="en-US" w:eastAsia="zh-CN" w:bidi="ar-SA"/>
        </w:rPr>
        <w:t>本次绩效评价共分三个阶段,</w:t>
      </w:r>
      <w:bookmarkEnd w:id="4"/>
      <w:bookmarkEnd w:id="5"/>
      <w:bookmarkStart w:id="6" w:name="_Toc384200722"/>
      <w:bookmarkStart w:id="7" w:name="_Toc393036142"/>
      <w:bookmarkStart w:id="8" w:name="_Toc393039904"/>
      <w:bookmarkStart w:id="9" w:name="_Toc393039574"/>
      <w:r>
        <w:rPr>
          <w:rFonts w:hint="eastAsia" w:ascii="仿宋_GB2312" w:hAnsi="Calibri" w:eastAsia="仿宋_GB2312" w:cs="Times New Roman"/>
          <w:kern w:val="2"/>
          <w:sz w:val="32"/>
          <w:szCs w:val="32"/>
          <w:lang w:val="en-US" w:eastAsia="zh-CN" w:bidi="ar-SA"/>
        </w:rPr>
        <w:t>一是绩效评价准备。召开学习准备会，通过对财政预算绩效评价相关文件的学习</w:t>
      </w:r>
      <w:bookmarkEnd w:id="6"/>
      <w:r>
        <w:rPr>
          <w:rFonts w:hint="eastAsia" w:ascii="仿宋_GB2312" w:hAnsi="Calibri" w:eastAsia="仿宋_GB2312" w:cs="Times New Roman"/>
          <w:kern w:val="2"/>
          <w:sz w:val="32"/>
          <w:szCs w:val="32"/>
          <w:lang w:val="en-US" w:eastAsia="zh-CN" w:bidi="ar-SA"/>
        </w:rPr>
        <w:t>，制定实施方案，成立评价小组。</w:t>
      </w:r>
      <w:bookmarkEnd w:id="7"/>
      <w:bookmarkEnd w:id="8"/>
      <w:bookmarkEnd w:id="9"/>
      <w:bookmarkStart w:id="10" w:name="_Toc393039576"/>
      <w:bookmarkStart w:id="11" w:name="_Toc393036144"/>
      <w:bookmarkStart w:id="12" w:name="_Toc384200724"/>
      <w:bookmarkStart w:id="13" w:name="_Toc393039906"/>
      <w:r>
        <w:rPr>
          <w:rFonts w:hint="eastAsia" w:ascii="仿宋_GB2312" w:hAnsi="Calibri" w:eastAsia="仿宋_GB2312" w:cs="Times New Roman"/>
          <w:kern w:val="2"/>
          <w:sz w:val="32"/>
          <w:szCs w:val="32"/>
          <w:lang w:val="en-US" w:eastAsia="zh-CN" w:bidi="ar-SA"/>
        </w:rPr>
        <w:t>二是绩效评价实施。严格按照规定组织实施绩效评价，查阅和收集有关数据资料</w:t>
      </w:r>
      <w:bookmarkEnd w:id="10"/>
      <w:bookmarkEnd w:id="11"/>
      <w:bookmarkEnd w:id="12"/>
      <w:bookmarkEnd w:id="13"/>
      <w:bookmarkStart w:id="14" w:name="_Toc384200726"/>
      <w:bookmarkStart w:id="15" w:name="_Toc393039578"/>
      <w:bookmarkStart w:id="16" w:name="_Toc393039908"/>
      <w:bookmarkStart w:id="17" w:name="_Toc393036146"/>
      <w:r>
        <w:rPr>
          <w:rFonts w:hint="eastAsia" w:ascii="仿宋_GB2312" w:hAnsi="Calibri" w:eastAsia="仿宋_GB2312" w:cs="Times New Roman"/>
          <w:kern w:val="2"/>
          <w:sz w:val="32"/>
          <w:szCs w:val="32"/>
          <w:lang w:val="en-US" w:eastAsia="zh-CN" w:bidi="ar-SA"/>
        </w:rPr>
        <w:t>，并进行认真分析，初步计算出各评价指标分值</w:t>
      </w:r>
      <w:bookmarkEnd w:id="14"/>
      <w:r>
        <w:rPr>
          <w:rFonts w:hint="eastAsia" w:ascii="仿宋_GB2312" w:hAnsi="Calibri" w:eastAsia="仿宋_GB2312" w:cs="Times New Roman"/>
          <w:kern w:val="2"/>
          <w:sz w:val="32"/>
          <w:szCs w:val="32"/>
          <w:lang w:val="en-US" w:eastAsia="zh-CN" w:bidi="ar-SA"/>
        </w:rPr>
        <w:t>。</w:t>
      </w:r>
      <w:bookmarkEnd w:id="15"/>
      <w:bookmarkEnd w:id="16"/>
      <w:bookmarkEnd w:id="17"/>
      <w:bookmarkStart w:id="18" w:name="_Toc393039910"/>
      <w:bookmarkStart w:id="19" w:name="_Toc384200730"/>
      <w:bookmarkStart w:id="20" w:name="_Toc393039580"/>
      <w:bookmarkStart w:id="21" w:name="_Toc393036148"/>
      <w:r>
        <w:rPr>
          <w:rFonts w:hint="eastAsia" w:ascii="仿宋_GB2312" w:hAnsi="Calibri" w:eastAsia="仿宋_GB2312" w:cs="Times New Roman"/>
          <w:kern w:val="2"/>
          <w:sz w:val="32"/>
          <w:szCs w:val="32"/>
          <w:lang w:val="en-US" w:eastAsia="zh-CN" w:bidi="ar-SA"/>
        </w:rPr>
        <w:t>三是绩效评价报告形成。通过对各项资料进行归纳整理，形成绩效评价报告。</w:t>
      </w:r>
      <w:bookmarkEnd w:id="18"/>
      <w:bookmarkEnd w:id="19"/>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三、部门整体支出绩效评价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我局2021年度绩效目标总体完成情况较好，保障了</w:t>
      </w:r>
      <w:r>
        <w:rPr>
          <w:rFonts w:hint="eastAsia" w:ascii="仿宋_GB2312" w:eastAsia="仿宋_GB2312" w:cs="Times New Roman"/>
          <w:kern w:val="2"/>
          <w:sz w:val="32"/>
          <w:szCs w:val="32"/>
          <w:lang w:val="en-US" w:eastAsia="zh-CN" w:bidi="ar-SA"/>
        </w:rPr>
        <w:t>机关</w:t>
      </w:r>
      <w:r>
        <w:rPr>
          <w:rFonts w:hint="eastAsia" w:ascii="仿宋_GB2312" w:hAnsi="Calibri" w:eastAsia="仿宋_GB2312" w:cs="Times New Roman"/>
          <w:kern w:val="2"/>
          <w:sz w:val="32"/>
          <w:szCs w:val="32"/>
          <w:lang w:val="en-US" w:eastAsia="zh-CN" w:bidi="ar-SA"/>
        </w:rPr>
        <w:t>各项工作正常有序的进行。我局预算编制完整项目支出编制合规，编报部门预算时细化的项目数与实际申报项目数基本相符;绩效目标符合国家法律法规；资产保存完善、配置合理、利用率高，财务管理合规，账实相符，资产处置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通过对2021年度整体支出绩效评价，发现我局还需健全财务管理制度体系，明确岗位职责和权限，</w:t>
      </w:r>
      <w:r>
        <w:rPr>
          <w:rFonts w:hint="eastAsia" w:ascii="仿宋_GB2312" w:eastAsia="仿宋_GB2312" w:cs="Times New Roman"/>
          <w:kern w:val="2"/>
          <w:sz w:val="32"/>
          <w:szCs w:val="32"/>
          <w:lang w:val="en-US" w:eastAsia="zh-CN" w:bidi="ar-SA"/>
        </w:rPr>
        <w:t>加强财务人员深入学习，进一步提高</w:t>
      </w:r>
      <w:r>
        <w:rPr>
          <w:rFonts w:hint="eastAsia" w:ascii="仿宋_GB2312" w:hAnsi="Calibri" w:eastAsia="仿宋_GB2312" w:cs="Times New Roman"/>
          <w:kern w:val="2"/>
          <w:sz w:val="32"/>
          <w:szCs w:val="32"/>
          <w:lang w:val="en-US" w:eastAsia="zh-CN" w:bidi="ar-SA"/>
        </w:rPr>
        <w:t>专业</w:t>
      </w:r>
      <w:r>
        <w:rPr>
          <w:rFonts w:hint="eastAsia" w:ascii="仿宋_GB2312" w:eastAsia="仿宋_GB2312" w:cs="Times New Roman"/>
          <w:kern w:val="2"/>
          <w:sz w:val="32"/>
          <w:szCs w:val="32"/>
          <w:lang w:val="en-US" w:eastAsia="zh-CN" w:bidi="ar-SA"/>
        </w:rPr>
        <w:t>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五、整改措施及建议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Calibri" w:eastAsia="仿宋_GB2312" w:cs="Times New Roman"/>
          <w:kern w:val="2"/>
          <w:sz w:val="32"/>
          <w:szCs w:val="32"/>
          <w:lang w:val="en-US" w:eastAsia="zh-CN" w:bidi="ar-SA"/>
        </w:rPr>
        <w:t>严格按照预算编制的相关要求进行编制，严格财务审核，加强财务管理，健全部门，规范部门财务行为。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2、制订更为详尽的年度预算支出计划，并督促按计划严格执行，确保各季度支出数达到相对均衡。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3、加强对相关人员培训，特别针对</w:t>
      </w:r>
      <w:r>
        <w:rPr>
          <w:rFonts w:hint="eastAsia" w:ascii="仿宋_GB2312" w:eastAsia="仿宋_GB2312" w:cs="Times New Roman"/>
          <w:kern w:val="2"/>
          <w:sz w:val="32"/>
          <w:szCs w:val="32"/>
          <w:lang w:val="en-US" w:eastAsia="zh-CN" w:bidi="ar-SA"/>
        </w:rPr>
        <w:t>《中华人民共和国预算法》、</w:t>
      </w:r>
      <w:r>
        <w:rPr>
          <w:rFonts w:hint="eastAsia" w:ascii="仿宋_GB2312" w:hAnsi="Calibri" w:eastAsia="仿宋_GB2312" w:cs="Times New Roman"/>
          <w:kern w:val="2"/>
          <w:sz w:val="32"/>
          <w:szCs w:val="32"/>
          <w:lang w:val="en-US" w:eastAsia="zh-CN" w:bidi="ar-SA"/>
        </w:rPr>
        <w:t>《政府会计制度》等方面学习培训，规范部门预算收支核算，切实提高部门预算收支管理水平。在费用报销时，按照预算规定的项目和用途进行资金使用审核、支付及财务核算，预防超支现象发生。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无其他需要说明的问题。</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kern w:val="2"/>
          <w:sz w:val="32"/>
          <w:szCs w:val="32"/>
          <w:lang w:val="en-US" w:eastAsia="zh-CN" w:bidi="ar-SA"/>
        </w:rPr>
        <w:t xml:space="preserve">                                </w:t>
      </w:r>
      <w:r>
        <w:rPr>
          <w:rFonts w:hint="eastAsia" w:ascii="仿宋_GB2312" w:hAnsi="仿宋_GB2312" w:eastAsia="仿宋_GB2312" w:cs="仿宋_GB2312"/>
          <w:sz w:val="32"/>
          <w:szCs w:val="32"/>
          <w:lang w:val="en-US" w:eastAsia="zh-CN"/>
        </w:rPr>
        <w:t>怀来县审计局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2022年4月25日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8B462"/>
    <w:multiLevelType w:val="singleLevel"/>
    <w:tmpl w:val="E6B8B4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ZGQzMjQ3ZjY5NWE1ZWE5ZjZkNjY0NmNiMzRlY2QifQ=="/>
  </w:docVars>
  <w:rsids>
    <w:rsidRoot w:val="69A13164"/>
    <w:rsid w:val="00481283"/>
    <w:rsid w:val="0236480E"/>
    <w:rsid w:val="09D16488"/>
    <w:rsid w:val="0EE61496"/>
    <w:rsid w:val="13A401A8"/>
    <w:rsid w:val="16697A09"/>
    <w:rsid w:val="179B5CE4"/>
    <w:rsid w:val="1A5F3D6B"/>
    <w:rsid w:val="1D976F4E"/>
    <w:rsid w:val="225E4C6D"/>
    <w:rsid w:val="23C057A9"/>
    <w:rsid w:val="259F1096"/>
    <w:rsid w:val="29FD24A5"/>
    <w:rsid w:val="2DDF0D0A"/>
    <w:rsid w:val="2FA4399B"/>
    <w:rsid w:val="359E3C6B"/>
    <w:rsid w:val="37313C61"/>
    <w:rsid w:val="3B163750"/>
    <w:rsid w:val="3DF81516"/>
    <w:rsid w:val="49C16F7D"/>
    <w:rsid w:val="4D8D56B2"/>
    <w:rsid w:val="4DB017E2"/>
    <w:rsid w:val="53554CC4"/>
    <w:rsid w:val="54E658DC"/>
    <w:rsid w:val="594377EE"/>
    <w:rsid w:val="599522EA"/>
    <w:rsid w:val="5A2306EA"/>
    <w:rsid w:val="62402F3E"/>
    <w:rsid w:val="624C78D4"/>
    <w:rsid w:val="64AF3298"/>
    <w:rsid w:val="68AE2929"/>
    <w:rsid w:val="68E82CE0"/>
    <w:rsid w:val="69A13164"/>
    <w:rsid w:val="6AF37A21"/>
    <w:rsid w:val="6EDC2307"/>
    <w:rsid w:val="70B05691"/>
    <w:rsid w:val="725707BA"/>
    <w:rsid w:val="74F11C15"/>
    <w:rsid w:val="75453ACF"/>
    <w:rsid w:val="75B70833"/>
    <w:rsid w:val="7E825A25"/>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样式2"/>
    <w:basedOn w:val="1"/>
    <w:qFormat/>
    <w:uiPriority w:val="0"/>
    <w:pPr>
      <w:spacing w:line="600" w:lineRule="exact"/>
      <w:ind w:right="-47" w:rightChars="-47" w:firstLine="200" w:firstLineChars="200"/>
      <w:jc w:val="left"/>
    </w:pPr>
    <w:rPr>
      <w:rFonts w:ascii="Times New Roman" w:hAnsi="Times New Roman" w:eastAsia="宋体" w:cs="Times New Roman"/>
      <w:bCs/>
      <w:sz w:val="28"/>
      <w:szCs w:val="28"/>
    </w:rPr>
  </w:style>
  <w:style w:type="paragraph" w:styleId="3">
    <w:name w:val="Subtitle"/>
    <w:basedOn w:val="1"/>
    <w:next w:val="1"/>
    <w:qFormat/>
    <w:uiPriority w:val="0"/>
    <w:pPr>
      <w:spacing w:line="312" w:lineRule="auto"/>
      <w:jc w:val="center"/>
      <w:outlineLvl w:val="1"/>
    </w:pPr>
    <w:rPr>
      <w:rFonts w:ascii="Arial" w:hAnsi="Arial"/>
      <w:b/>
      <w:kern w:val="28"/>
      <w:sz w:val="32"/>
    </w:rPr>
  </w:style>
  <w:style w:type="paragraph" w:customStyle="1" w:styleId="6">
    <w:name w:val="标题 #1"/>
    <w:basedOn w:val="1"/>
    <w:qFormat/>
    <w:uiPriority w:val="0"/>
    <w:pPr>
      <w:widowControl w:val="0"/>
      <w:shd w:val="clear" w:color="auto" w:fill="auto"/>
      <w:spacing w:before="560" w:after="440"/>
      <w:jc w:val="center"/>
      <w:outlineLvl w:val="0"/>
    </w:pPr>
    <w:rPr>
      <w:rFonts w:ascii="宋体" w:hAnsi="宋体" w:eastAsia="宋体" w:cs="宋体"/>
      <w:sz w:val="42"/>
      <w:szCs w:val="42"/>
      <w:u w:val="none"/>
      <w:shd w:val="clear" w:color="auto" w:fill="auto"/>
    </w:rPr>
  </w:style>
  <w:style w:type="paragraph" w:customStyle="1" w:styleId="7">
    <w:name w:val="正文文本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1941</Words>
  <Characters>2149</Characters>
  <Lines>0</Lines>
  <Paragraphs>0</Paragraphs>
  <TotalTime>24</TotalTime>
  <ScaleCrop>false</ScaleCrop>
  <LinksUpToDate>false</LinksUpToDate>
  <CharactersWithSpaces>2212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2022-10-11T04:59:00Z</dcterms:created>
  <dc:creator>花儿</dc:creator>
  <cp:lastModifiedBy>13403133044</cp:lastModifiedBy>
  <dcterms:modified xsi:type="dcterms:W3CDTF">2024-01-11T02:07:27Z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A9F8767476FD47DD90B7680702329E9D</vt:lpwstr>
  </property>
</Properties>
</file>