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怀来县文化和旅游部门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怀来县文化和旅游部门编制</w:t>
      </w: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both"/>
      </w:pP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7"/>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7"/>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7"/>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1.13073022X000010998004]冀财教【2021】155号河北省财政厅关于提前下达2022年省级“三馆一站”免费开放补助资金的通知绩效目标表</w:t>
      </w:r>
      <w:r>
        <w:tab/>
      </w:r>
      <w:r>
        <w:fldChar w:fldCharType="begin"/>
      </w:r>
      <w:r>
        <w:instrText xml:space="preserve">PAGEREF _Toc_4_4_0000000004 \h</w:instrText>
      </w:r>
      <w:r>
        <w:fldChar w:fldCharType="separate"/>
      </w:r>
      <w:r>
        <w:t>4</w:t>
      </w:r>
      <w:r>
        <w:fldChar w:fldCharType="end"/>
      </w:r>
      <w:r>
        <w:fldChar w:fldCharType="end"/>
      </w:r>
    </w:p>
    <w:p>
      <w:pPr>
        <w:pStyle w:val="17"/>
        <w:tabs>
          <w:tab w:val="right" w:leader="dot" w:pos="9282"/>
        </w:tabs>
      </w:pPr>
      <w:r>
        <w:fldChar w:fldCharType="begin"/>
      </w:r>
      <w:r>
        <w:instrText xml:space="preserve"> HYPERLINK \l "_Toc_4_4_0000000005" </w:instrText>
      </w:r>
      <w:r>
        <w:fldChar w:fldCharType="separate"/>
      </w:r>
      <w:r>
        <w:t>2.[13073022X000010998006]怀财字【2022】7号“三馆一站”免费开放县级配套资金绩效目标表</w:t>
      </w:r>
      <w:r>
        <w:tab/>
      </w:r>
      <w:r>
        <w:fldChar w:fldCharType="begin"/>
      </w:r>
      <w:r>
        <w:instrText xml:space="preserve">PAGEREF _Toc_4_4_0000000005 \h</w:instrText>
      </w:r>
      <w:r>
        <w:fldChar w:fldCharType="separate"/>
      </w:r>
      <w:r>
        <w:t>5</w:t>
      </w:r>
      <w:r>
        <w:fldChar w:fldCharType="end"/>
      </w:r>
      <w:r>
        <w:fldChar w:fldCharType="end"/>
      </w:r>
    </w:p>
    <w:p>
      <w:pPr>
        <w:pStyle w:val="17"/>
        <w:tabs>
          <w:tab w:val="right" w:leader="dot" w:pos="9282"/>
        </w:tabs>
      </w:pPr>
      <w:r>
        <w:fldChar w:fldCharType="begin"/>
      </w:r>
      <w:r>
        <w:instrText xml:space="preserve"> HYPERLINK \l "_Toc_4_4_0000000006" </w:instrText>
      </w:r>
      <w:r>
        <w:fldChar w:fldCharType="separate"/>
      </w:r>
      <w:r>
        <w:t>3.[13073022X000010998438]冀财教[2021]138号 河北省财政厅关于提前下达2022年中央补助地方公共文化服务体系建设专项资金预算的通知绩效目标表</w:t>
      </w:r>
      <w:r>
        <w:tab/>
      </w:r>
      <w:r>
        <w:fldChar w:fldCharType="begin"/>
      </w:r>
      <w:r>
        <w:instrText xml:space="preserve">PAGEREF _Toc_4_4_0000000006 \h</w:instrText>
      </w:r>
      <w:r>
        <w:fldChar w:fldCharType="separate"/>
      </w:r>
      <w:r>
        <w:t>6</w:t>
      </w:r>
      <w:r>
        <w:fldChar w:fldCharType="end"/>
      </w:r>
      <w:r>
        <w:fldChar w:fldCharType="end"/>
      </w:r>
    </w:p>
    <w:p>
      <w:pPr>
        <w:pStyle w:val="17"/>
        <w:tabs>
          <w:tab w:val="right" w:leader="dot" w:pos="9282"/>
        </w:tabs>
      </w:pPr>
      <w:r>
        <w:fldChar w:fldCharType="begin"/>
      </w:r>
      <w:r>
        <w:instrText xml:space="preserve"> HYPERLINK \l "_Toc_4_4_0000000007" </w:instrText>
      </w:r>
      <w:r>
        <w:fldChar w:fldCharType="separate"/>
      </w:r>
      <w:r>
        <w:t>4.[13073022X000010998441]冀财教[2021]152号 河北省财政厅关于提前下达2022年省级非物质文化遗产保护专项资金的通知绩效目标表</w:t>
      </w:r>
      <w:r>
        <w:tab/>
      </w:r>
      <w:r>
        <w:fldChar w:fldCharType="begin"/>
      </w:r>
      <w:r>
        <w:instrText xml:space="preserve">PAGEREF _Toc_4_4_0000000007 \h</w:instrText>
      </w:r>
      <w:r>
        <w:fldChar w:fldCharType="separate"/>
      </w:r>
      <w:r>
        <w:t>7</w:t>
      </w:r>
      <w:r>
        <w:fldChar w:fldCharType="end"/>
      </w:r>
      <w:r>
        <w:fldChar w:fldCharType="end"/>
      </w:r>
    </w:p>
    <w:p>
      <w:pPr>
        <w:pStyle w:val="17"/>
        <w:tabs>
          <w:tab w:val="right" w:leader="dot" w:pos="9282"/>
        </w:tabs>
      </w:pPr>
      <w:r>
        <w:fldChar w:fldCharType="begin"/>
      </w:r>
      <w:r>
        <w:instrText xml:space="preserve"> HYPERLINK \l "_Toc_4_4_0000000008" </w:instrText>
      </w:r>
      <w:r>
        <w:fldChar w:fldCharType="separate"/>
      </w:r>
      <w:r>
        <w:t>5.[13073022X000010998509]怀财字【2022】7号 专项经费绩效目标表</w:t>
      </w:r>
      <w:r>
        <w:tab/>
      </w:r>
      <w:r>
        <w:fldChar w:fldCharType="begin"/>
      </w:r>
      <w:r>
        <w:instrText xml:space="preserve">PAGEREF _Toc_4_4_0000000008 \h</w:instrText>
      </w:r>
      <w:r>
        <w:fldChar w:fldCharType="separate"/>
      </w:r>
      <w:r>
        <w:t>8</w:t>
      </w:r>
      <w:r>
        <w:fldChar w:fldCharType="end"/>
      </w:r>
      <w:r>
        <w:fldChar w:fldCharType="end"/>
      </w:r>
    </w:p>
    <w:p>
      <w:pPr>
        <w:pStyle w:val="17"/>
        <w:tabs>
          <w:tab w:val="right" w:leader="dot" w:pos="9282"/>
        </w:tabs>
      </w:pPr>
      <w:r>
        <w:fldChar w:fldCharType="begin"/>
      </w:r>
      <w:r>
        <w:instrText xml:space="preserve"> HYPERLINK \l "_Toc_4_4_0000000009" </w:instrText>
      </w:r>
      <w:r>
        <w:fldChar w:fldCharType="separate"/>
      </w:r>
      <w:r>
        <w:t>6.怀财字【2022】7号 办案及业务绩效目标表</w:t>
      </w:r>
      <w:r>
        <w:tab/>
      </w:r>
      <w:r>
        <w:fldChar w:fldCharType="begin"/>
      </w:r>
      <w:r>
        <w:instrText xml:space="preserve">PAGEREF _Toc_4_4_0000000009 \h</w:instrText>
      </w:r>
      <w:r>
        <w:fldChar w:fldCharType="separate"/>
      </w:r>
      <w:r>
        <w:t>9</w:t>
      </w:r>
      <w:r>
        <w:fldChar w:fldCharType="end"/>
      </w:r>
      <w:r>
        <w:fldChar w:fldCharType="end"/>
      </w:r>
    </w:p>
    <w:p>
      <w:pPr>
        <w:pStyle w:val="17"/>
        <w:tabs>
          <w:tab w:val="right" w:leader="dot" w:pos="9282"/>
        </w:tabs>
      </w:pPr>
      <w:r>
        <w:fldChar w:fldCharType="begin"/>
      </w:r>
      <w:r>
        <w:instrText xml:space="preserve"> HYPERLINK \l "_Toc_4_4_0000000010" </w:instrText>
      </w:r>
      <w:r>
        <w:fldChar w:fldCharType="separate"/>
      </w:r>
      <w:r>
        <w:t>7.办案及业务绩效目标表</w:t>
      </w:r>
      <w:r>
        <w:tab/>
      </w:r>
      <w:r>
        <w:fldChar w:fldCharType="begin"/>
      </w:r>
      <w:r>
        <w:instrText xml:space="preserve">PAGEREF _Toc_4_4_0000000010 \h</w:instrText>
      </w:r>
      <w:r>
        <w:fldChar w:fldCharType="separate"/>
      </w:r>
      <w:r>
        <w:t>10</w:t>
      </w:r>
      <w:r>
        <w:fldChar w:fldCharType="end"/>
      </w:r>
      <w:r>
        <w:fldChar w:fldCharType="end"/>
      </w:r>
    </w:p>
    <w:p>
      <w:pPr>
        <w:pStyle w:val="17"/>
        <w:tabs>
          <w:tab w:val="right" w:leader="dot" w:pos="9282"/>
        </w:tabs>
      </w:pPr>
      <w:r>
        <w:fldChar w:fldCharType="begin"/>
      </w:r>
      <w:r>
        <w:instrText xml:space="preserve"> HYPERLINK \l "_Toc_4_4_0000000011" </w:instrText>
      </w:r>
      <w:r>
        <w:fldChar w:fldCharType="separate"/>
      </w:r>
      <w:r>
        <w:t>8.冀财教[2021]135号河北省财政厅关于提前下达2022年国家文物保护专项资金预算的通知绩效目标表</w:t>
      </w:r>
      <w:r>
        <w:tab/>
      </w:r>
      <w:r>
        <w:fldChar w:fldCharType="begin"/>
      </w:r>
      <w:r>
        <w:instrText xml:space="preserve">PAGEREF _Toc_4_4_0000000011 \h</w:instrText>
      </w:r>
      <w:r>
        <w:fldChar w:fldCharType="separate"/>
      </w:r>
      <w:r>
        <w:t>11</w:t>
      </w:r>
      <w:r>
        <w:fldChar w:fldCharType="end"/>
      </w:r>
      <w:r>
        <w:fldChar w:fldCharType="end"/>
      </w:r>
    </w:p>
    <w:p>
      <w:r>
        <w:fldChar w:fldCharType="end"/>
      </w:r>
    </w:p>
    <w:p>
      <w:pPr>
        <w:sectPr>
          <w:footerReference r:id="rId9" w:type="default"/>
          <w:footerReference r:id="rId10" w:type="even"/>
          <w:pgSz w:w="11900" w:h="16840"/>
          <w:pgMar w:top="1984" w:right="1304" w:bottom="1134" w:left="1304" w:header="720" w:footer="720" w:gutter="0"/>
          <w:pgNumType w:start="1"/>
          <w:cols w:space="720" w:num="1"/>
        </w:sectPr>
      </w:pP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7"/>
      </w:pPr>
      <w:r>
        <w:t>1、怀来县文化广电和旅游局以习近平新时代中国特色社会主义思想为指导，深入贯彻和落实党中央的重大决策部署和省市县各项任务要求，围绕县委、县政府中心工作，加快推进文化和旅游业的各项工作。</w:t>
      </w:r>
    </w:p>
    <w:p>
      <w:pPr>
        <w:pStyle w:val="7"/>
      </w:pPr>
      <w:r>
        <w:t>2、确保疫情防控，安全生产工作落实到位。以官厅水库国家湿地公园、天漠、卧牛山、鸡鸣驿古城等历史人文景观为依托，大力发展影视产业，进一步完善影视服务和发展链条，培育新业态，创造新消费。</w:t>
      </w:r>
    </w:p>
    <w:p>
      <w:pPr>
        <w:pStyle w:val="7"/>
      </w:pPr>
      <w:r>
        <w:t>3、继续开展乡镇综合文化站及村级综合文化服务中心提升工作，完善乡镇文化站村级文化中心建设工作。</w:t>
      </w:r>
    </w:p>
    <w:p>
      <w:pPr>
        <w:pStyle w:val="7"/>
      </w:pPr>
      <w:r>
        <w:t>4、大力开展群众喜闻乐见的文化体育活动，提升广大群众对公共文化服务的获得感和幸福感。</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8"/>
      </w:pPr>
      <w:r>
        <w:t>1、文化艺术管理：公共文化设施达标、机构和队伍健全。实现公共文化资源共享，形成城乡一体公共文化服务网络；公共文化产品生产和服务能力提高，基本公共文化服务标准化、均等化水平不断提高。</w:t>
      </w:r>
    </w:p>
    <w:p>
      <w:pPr>
        <w:pStyle w:val="8"/>
      </w:pPr>
      <w:r>
        <w:t>2、文化宣传交流：全方位宣传推介县文化艺术资源，提升对外交流水平和档次。</w:t>
      </w:r>
    </w:p>
    <w:p>
      <w:pPr>
        <w:pStyle w:val="8"/>
      </w:pPr>
      <w:r>
        <w:t>3、文化保护:构建健全的文化保护体系，文化保护工作得到全面加强，优秀文化得到传承和发。</w:t>
      </w:r>
    </w:p>
    <w:p>
      <w:pPr>
        <w:pStyle w:val="8"/>
      </w:pPr>
      <w:r>
        <w:t>4、文化政务管理：确保各项业务工作谋划到位、顺利开展。保障机关工作正常高效运转。</w:t>
      </w:r>
    </w:p>
    <w:p>
      <w:pPr>
        <w:pStyle w:val="8"/>
      </w:pPr>
      <w:r>
        <w:t>5、政务管理：确保各项业务工作谋划到位、顺利开展。保障机关工作正常高效运转。</w:t>
      </w:r>
    </w:p>
    <w:p>
      <w:pPr>
        <w:pStyle w:val="8"/>
      </w:pPr>
      <w:r>
        <w:t>7、围绕重点文旅项目，按照“五大攻坚战”任务要求，完善葡萄酒世界之窗绿色小镇项目建设；加强鸡鸣驿城文物保护和旅游开发力度。</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9"/>
      </w:pPr>
      <w:r>
        <w:t>面对突发的</w:t>
      </w:r>
      <w:bookmarkStart w:id="11" w:name="_GoBack"/>
      <w:bookmarkEnd w:id="11"/>
      <w:r>
        <w:rPr>
          <w:rFonts w:hint="eastAsia"/>
          <w:lang w:val="en-US" w:eastAsia="zh-CN"/>
        </w:rPr>
        <w:t>新</w:t>
      </w:r>
      <w:r>
        <w:t>冠肺炎疫情和文旅产业融合发展任务，怀来县文化广电和旅游局坚持以习近平新时代中国特色社会主义思想为统领，紧紧围绕党中央和省市县委战略决策部署，团结带领全局干部职工，扎实做好党建、巡察整改、公共服务体系建设、文物保护与利用、文旅产业融合发展和疫情防控工作。</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1.13073022X000010998004]冀财教【2021】155号河北省财政厅关于提前下达2022年省级“三馆一站”免费开放补助资金的通知绩效目标表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13073022P00800410001P</w:t>
            </w:r>
          </w:p>
        </w:tc>
        <w:tc>
          <w:tcPr>
            <w:tcW w:w="1587" w:type="dxa"/>
            <w:vAlign w:val="center"/>
          </w:tcPr>
          <w:p>
            <w:pPr>
              <w:pStyle w:val="13"/>
            </w:pPr>
            <w:r>
              <w:t>项目名称</w:t>
            </w:r>
          </w:p>
        </w:tc>
        <w:tc>
          <w:tcPr>
            <w:tcW w:w="4422" w:type="dxa"/>
            <w:gridSpan w:val="3"/>
            <w:vAlign w:val="center"/>
          </w:tcPr>
          <w:p>
            <w:pPr>
              <w:pStyle w:val="12"/>
            </w:pPr>
            <w:r>
              <w:t>13073022X000010998004]冀财教【2021】155号河北省财政厅关于提前下达2022年省级“三馆一站”免费开放补助资金的通知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12.50</w:t>
            </w:r>
          </w:p>
        </w:tc>
        <w:tc>
          <w:tcPr>
            <w:tcW w:w="1587" w:type="dxa"/>
            <w:vAlign w:val="center"/>
          </w:tcPr>
          <w:p>
            <w:pPr>
              <w:pStyle w:val="13"/>
            </w:pPr>
            <w:r>
              <w:t>其中：财政    资金</w:t>
            </w:r>
          </w:p>
        </w:tc>
        <w:tc>
          <w:tcPr>
            <w:tcW w:w="1304" w:type="dxa"/>
            <w:vAlign w:val="center"/>
          </w:tcPr>
          <w:p>
            <w:pPr>
              <w:pStyle w:val="12"/>
            </w:pPr>
            <w:r>
              <w:t>12.50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用于免费开放活动费用和场馆正常运转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补助资金到位率</w:t>
            </w:r>
          </w:p>
        </w:tc>
        <w:tc>
          <w:tcPr>
            <w:tcW w:w="2891" w:type="dxa"/>
            <w:vAlign w:val="center"/>
          </w:tcPr>
          <w:p>
            <w:pPr>
              <w:pStyle w:val="12"/>
            </w:pPr>
            <w:r>
              <w:t>补助资金到位率</w:t>
            </w:r>
          </w:p>
        </w:tc>
        <w:tc>
          <w:tcPr>
            <w:tcW w:w="1276" w:type="dxa"/>
            <w:vAlign w:val="center"/>
          </w:tcPr>
          <w:p>
            <w:pPr>
              <w:pStyle w:val="12"/>
            </w:pPr>
            <w:r>
              <w:t>≥100百分比</w:t>
            </w:r>
          </w:p>
        </w:tc>
        <w:tc>
          <w:tcPr>
            <w:tcW w:w="1843" w:type="dxa"/>
            <w:vAlign w:val="center"/>
          </w:tcPr>
          <w:p>
            <w:pPr>
              <w:pStyle w:val="12"/>
            </w:pPr>
            <w:r>
              <w:t>资金拨放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免费开放场馆组织举办各类展览、培训、讲座等文化活动数量</w:t>
            </w:r>
          </w:p>
        </w:tc>
        <w:tc>
          <w:tcPr>
            <w:tcW w:w="2891" w:type="dxa"/>
            <w:vAlign w:val="center"/>
          </w:tcPr>
          <w:p>
            <w:pPr>
              <w:pStyle w:val="12"/>
            </w:pPr>
            <w:r>
              <w:t>免费开放场馆组织举办各类展览、培训、讲座等文化活动数量</w:t>
            </w:r>
          </w:p>
        </w:tc>
        <w:tc>
          <w:tcPr>
            <w:tcW w:w="1276" w:type="dxa"/>
            <w:vAlign w:val="center"/>
          </w:tcPr>
          <w:p>
            <w:pPr>
              <w:pStyle w:val="12"/>
            </w:pPr>
            <w:r>
              <w:t>≥95百分比</w:t>
            </w:r>
          </w:p>
        </w:tc>
        <w:tc>
          <w:tcPr>
            <w:tcW w:w="1843" w:type="dxa"/>
            <w:vAlign w:val="center"/>
          </w:tcPr>
          <w:p>
            <w:pPr>
              <w:pStyle w:val="12"/>
            </w:pPr>
            <w:r>
              <w:t>活动次数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群众参与免费开放活动的人次</w:t>
            </w:r>
          </w:p>
        </w:tc>
        <w:tc>
          <w:tcPr>
            <w:tcW w:w="2891" w:type="dxa"/>
            <w:vAlign w:val="center"/>
          </w:tcPr>
          <w:p>
            <w:pPr>
              <w:pStyle w:val="12"/>
            </w:pPr>
            <w:r>
              <w:t>群众参与免费开放活动的兴趣</w:t>
            </w:r>
          </w:p>
        </w:tc>
        <w:tc>
          <w:tcPr>
            <w:tcW w:w="1276" w:type="dxa"/>
            <w:vAlign w:val="center"/>
          </w:tcPr>
          <w:p>
            <w:pPr>
              <w:pStyle w:val="12"/>
            </w:pPr>
            <w:r>
              <w:t>≥400万</w:t>
            </w:r>
          </w:p>
        </w:tc>
        <w:tc>
          <w:tcPr>
            <w:tcW w:w="1843" w:type="dxa"/>
            <w:vAlign w:val="center"/>
          </w:tcPr>
          <w:p>
            <w:pPr>
              <w:pStyle w:val="12"/>
            </w:pPr>
            <w:r>
              <w:t>参与人数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举办活动的时效</w:t>
            </w:r>
          </w:p>
        </w:tc>
        <w:tc>
          <w:tcPr>
            <w:tcW w:w="2891" w:type="dxa"/>
            <w:vAlign w:val="center"/>
          </w:tcPr>
          <w:p>
            <w:pPr>
              <w:pStyle w:val="12"/>
            </w:pPr>
            <w:r>
              <w:t>举办活动的时效</w:t>
            </w:r>
          </w:p>
        </w:tc>
        <w:tc>
          <w:tcPr>
            <w:tcW w:w="1276" w:type="dxa"/>
            <w:vAlign w:val="center"/>
          </w:tcPr>
          <w:p>
            <w:pPr>
              <w:pStyle w:val="12"/>
            </w:pPr>
            <w:r>
              <w:t>≥95百分比</w:t>
            </w:r>
          </w:p>
        </w:tc>
        <w:tc>
          <w:tcPr>
            <w:tcW w:w="1843" w:type="dxa"/>
            <w:vAlign w:val="center"/>
          </w:tcPr>
          <w:p>
            <w:pPr>
              <w:pStyle w:val="12"/>
            </w:pPr>
            <w:r>
              <w:t>举办活动的时效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举办活动所需成本</w:t>
            </w:r>
          </w:p>
        </w:tc>
        <w:tc>
          <w:tcPr>
            <w:tcW w:w="2891" w:type="dxa"/>
            <w:vAlign w:val="center"/>
          </w:tcPr>
          <w:p>
            <w:pPr>
              <w:pStyle w:val="12"/>
            </w:pPr>
            <w:r>
              <w:t>举办活动所需成本</w:t>
            </w:r>
          </w:p>
        </w:tc>
        <w:tc>
          <w:tcPr>
            <w:tcW w:w="1276" w:type="dxa"/>
            <w:vAlign w:val="center"/>
          </w:tcPr>
          <w:p>
            <w:pPr>
              <w:pStyle w:val="12"/>
            </w:pPr>
            <w:r>
              <w:t>12.5万</w:t>
            </w:r>
          </w:p>
        </w:tc>
        <w:tc>
          <w:tcPr>
            <w:tcW w:w="1843" w:type="dxa"/>
            <w:vAlign w:val="center"/>
          </w:tcPr>
          <w:p>
            <w:pPr>
              <w:pStyle w:val="12"/>
            </w:pPr>
            <w:r>
              <w:t>所需费用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举办免费开放活动服务水平和影响</w:t>
            </w:r>
          </w:p>
        </w:tc>
        <w:tc>
          <w:tcPr>
            <w:tcW w:w="2891" w:type="dxa"/>
            <w:vAlign w:val="center"/>
          </w:tcPr>
          <w:p>
            <w:pPr>
              <w:pStyle w:val="12"/>
            </w:pPr>
            <w:r>
              <w:t>举办免费开放对群众文化生活的影响</w:t>
            </w:r>
          </w:p>
        </w:tc>
        <w:tc>
          <w:tcPr>
            <w:tcW w:w="1276" w:type="dxa"/>
            <w:vAlign w:val="center"/>
          </w:tcPr>
          <w:p>
            <w:pPr>
              <w:pStyle w:val="12"/>
            </w:pPr>
            <w:r>
              <w:t>≥90百分比</w:t>
            </w:r>
          </w:p>
        </w:tc>
        <w:tc>
          <w:tcPr>
            <w:tcW w:w="1843" w:type="dxa"/>
            <w:vAlign w:val="center"/>
          </w:tcPr>
          <w:p>
            <w:pPr>
              <w:pStyle w:val="12"/>
            </w:pPr>
            <w:r>
              <w:t>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免费开放场馆正常运转</w:t>
            </w:r>
          </w:p>
        </w:tc>
        <w:tc>
          <w:tcPr>
            <w:tcW w:w="2891" w:type="dxa"/>
            <w:vAlign w:val="center"/>
          </w:tcPr>
          <w:p>
            <w:pPr>
              <w:pStyle w:val="12"/>
            </w:pPr>
            <w:r>
              <w:t>免费开放场馆正常运转</w:t>
            </w:r>
          </w:p>
        </w:tc>
        <w:tc>
          <w:tcPr>
            <w:tcW w:w="1276" w:type="dxa"/>
            <w:vAlign w:val="center"/>
          </w:tcPr>
          <w:p>
            <w:pPr>
              <w:pStyle w:val="12"/>
            </w:pPr>
            <w:r>
              <w:t>≥95百分比</w:t>
            </w:r>
          </w:p>
        </w:tc>
        <w:tc>
          <w:tcPr>
            <w:tcW w:w="1843" w:type="dxa"/>
            <w:vAlign w:val="center"/>
          </w:tcPr>
          <w:p>
            <w:pPr>
              <w:pStyle w:val="12"/>
            </w:pPr>
            <w:r>
              <w:t>正常开放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2.[13073022X000010998006]怀财字【2022】7号“三馆一站”免费开放县级配套资金绩效目标表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13073022P008006100013</w:t>
            </w:r>
          </w:p>
        </w:tc>
        <w:tc>
          <w:tcPr>
            <w:tcW w:w="1587" w:type="dxa"/>
            <w:vAlign w:val="center"/>
          </w:tcPr>
          <w:p>
            <w:pPr>
              <w:pStyle w:val="13"/>
            </w:pPr>
            <w:r>
              <w:t>项目名称</w:t>
            </w:r>
          </w:p>
        </w:tc>
        <w:tc>
          <w:tcPr>
            <w:tcW w:w="4422" w:type="dxa"/>
            <w:gridSpan w:val="3"/>
            <w:vAlign w:val="center"/>
          </w:tcPr>
          <w:p>
            <w:pPr>
              <w:pStyle w:val="12"/>
            </w:pPr>
            <w:r>
              <w:t>[13073022X000010998006]怀财字【2022】7号“三馆一站”免费开放县级配套资金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87.50</w:t>
            </w:r>
          </w:p>
        </w:tc>
        <w:tc>
          <w:tcPr>
            <w:tcW w:w="1587" w:type="dxa"/>
            <w:vAlign w:val="center"/>
          </w:tcPr>
          <w:p>
            <w:pPr>
              <w:pStyle w:val="13"/>
            </w:pPr>
            <w:r>
              <w:t>其中：财政    资金</w:t>
            </w:r>
          </w:p>
        </w:tc>
        <w:tc>
          <w:tcPr>
            <w:tcW w:w="1304" w:type="dxa"/>
            <w:vAlign w:val="center"/>
          </w:tcPr>
          <w:p>
            <w:pPr>
              <w:pStyle w:val="12"/>
            </w:pPr>
            <w:r>
              <w:t>87.50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用于图书馆、文化馆举办免费开放活动和正常运转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补助资金到位率</w:t>
            </w:r>
          </w:p>
        </w:tc>
        <w:tc>
          <w:tcPr>
            <w:tcW w:w="2891" w:type="dxa"/>
            <w:vAlign w:val="center"/>
          </w:tcPr>
          <w:p>
            <w:pPr>
              <w:pStyle w:val="12"/>
            </w:pPr>
            <w:r>
              <w:t>补助资金到位率</w:t>
            </w:r>
          </w:p>
        </w:tc>
        <w:tc>
          <w:tcPr>
            <w:tcW w:w="1276" w:type="dxa"/>
            <w:vAlign w:val="center"/>
          </w:tcPr>
          <w:p>
            <w:pPr>
              <w:pStyle w:val="12"/>
            </w:pPr>
            <w:r>
              <w:t>≥100百分比</w:t>
            </w:r>
          </w:p>
        </w:tc>
        <w:tc>
          <w:tcPr>
            <w:tcW w:w="1843" w:type="dxa"/>
            <w:vAlign w:val="center"/>
          </w:tcPr>
          <w:p>
            <w:pPr>
              <w:pStyle w:val="12"/>
            </w:pPr>
            <w:r>
              <w:t>资金拨付情况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举办文化活动增长率</w:t>
            </w:r>
          </w:p>
        </w:tc>
        <w:tc>
          <w:tcPr>
            <w:tcW w:w="2891" w:type="dxa"/>
            <w:vAlign w:val="center"/>
          </w:tcPr>
          <w:p>
            <w:pPr>
              <w:pStyle w:val="12"/>
            </w:pPr>
            <w:r>
              <w:t>举办文化活动增长率</w:t>
            </w:r>
          </w:p>
        </w:tc>
        <w:tc>
          <w:tcPr>
            <w:tcW w:w="1276" w:type="dxa"/>
            <w:vAlign w:val="center"/>
          </w:tcPr>
          <w:p>
            <w:pPr>
              <w:pStyle w:val="12"/>
            </w:pPr>
            <w:r>
              <w:t>≥5百分比</w:t>
            </w:r>
          </w:p>
        </w:tc>
        <w:tc>
          <w:tcPr>
            <w:tcW w:w="1843" w:type="dxa"/>
            <w:vAlign w:val="center"/>
          </w:tcPr>
          <w:p>
            <w:pPr>
              <w:pStyle w:val="12"/>
            </w:pPr>
            <w:r>
              <w:t>举办活动场次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举办活动所需成本</w:t>
            </w:r>
          </w:p>
        </w:tc>
        <w:tc>
          <w:tcPr>
            <w:tcW w:w="2891" w:type="dxa"/>
            <w:vAlign w:val="center"/>
          </w:tcPr>
          <w:p>
            <w:pPr>
              <w:pStyle w:val="12"/>
            </w:pPr>
            <w:r>
              <w:t>举办活动所需成本</w:t>
            </w:r>
          </w:p>
        </w:tc>
        <w:tc>
          <w:tcPr>
            <w:tcW w:w="1276" w:type="dxa"/>
            <w:vAlign w:val="center"/>
          </w:tcPr>
          <w:p>
            <w:pPr>
              <w:pStyle w:val="12"/>
            </w:pPr>
            <w:r>
              <w:t>87.5万</w:t>
            </w:r>
          </w:p>
        </w:tc>
        <w:tc>
          <w:tcPr>
            <w:tcW w:w="1843" w:type="dxa"/>
            <w:vAlign w:val="center"/>
          </w:tcPr>
          <w:p>
            <w:pPr>
              <w:pStyle w:val="12"/>
            </w:pPr>
            <w:r>
              <w:t>活动费用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举办活动及时性</w:t>
            </w:r>
          </w:p>
        </w:tc>
        <w:tc>
          <w:tcPr>
            <w:tcW w:w="2891" w:type="dxa"/>
            <w:vAlign w:val="center"/>
          </w:tcPr>
          <w:p>
            <w:pPr>
              <w:pStyle w:val="12"/>
            </w:pPr>
            <w:r>
              <w:t>举办活动及时性</w:t>
            </w:r>
          </w:p>
        </w:tc>
        <w:tc>
          <w:tcPr>
            <w:tcW w:w="1276" w:type="dxa"/>
            <w:vAlign w:val="center"/>
          </w:tcPr>
          <w:p>
            <w:pPr>
              <w:pStyle w:val="12"/>
            </w:pPr>
            <w:r>
              <w:t>≥90百分比</w:t>
            </w:r>
          </w:p>
        </w:tc>
        <w:tc>
          <w:tcPr>
            <w:tcW w:w="1843" w:type="dxa"/>
            <w:vAlign w:val="center"/>
          </w:tcPr>
          <w:p>
            <w:pPr>
              <w:pStyle w:val="12"/>
            </w:pPr>
            <w:r>
              <w:t>活动按时举办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免费开放服务水平和对社会的影响</w:t>
            </w:r>
          </w:p>
        </w:tc>
        <w:tc>
          <w:tcPr>
            <w:tcW w:w="2891" w:type="dxa"/>
            <w:vAlign w:val="center"/>
          </w:tcPr>
          <w:p>
            <w:pPr>
              <w:pStyle w:val="12"/>
            </w:pPr>
            <w:r>
              <w:t>对群众文化生活的影响</w:t>
            </w:r>
          </w:p>
        </w:tc>
        <w:tc>
          <w:tcPr>
            <w:tcW w:w="1276" w:type="dxa"/>
            <w:vAlign w:val="center"/>
          </w:tcPr>
          <w:p>
            <w:pPr>
              <w:pStyle w:val="12"/>
            </w:pPr>
            <w:r>
              <w:t>≥95百分比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举办活动及时性</w:t>
            </w:r>
          </w:p>
        </w:tc>
        <w:tc>
          <w:tcPr>
            <w:tcW w:w="2891" w:type="dxa"/>
            <w:vAlign w:val="center"/>
          </w:tcPr>
          <w:p>
            <w:pPr>
              <w:pStyle w:val="12"/>
            </w:pPr>
            <w:r>
              <w:t>举办活动及时性</w:t>
            </w:r>
          </w:p>
        </w:tc>
        <w:tc>
          <w:tcPr>
            <w:tcW w:w="1276" w:type="dxa"/>
            <w:vAlign w:val="center"/>
          </w:tcPr>
          <w:p>
            <w:pPr>
              <w:pStyle w:val="12"/>
            </w:pPr>
            <w:r>
              <w:t>≥95百分比</w:t>
            </w:r>
          </w:p>
        </w:tc>
        <w:tc>
          <w:tcPr>
            <w:tcW w:w="1843" w:type="dxa"/>
            <w:vAlign w:val="center"/>
          </w:tcPr>
          <w:p>
            <w:pPr>
              <w:pStyle w:val="12"/>
            </w:pPr>
            <w:r>
              <w:t>场馆正常开放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观众满意度</w:t>
            </w:r>
          </w:p>
        </w:tc>
        <w:tc>
          <w:tcPr>
            <w:tcW w:w="2891" w:type="dxa"/>
            <w:vAlign w:val="center"/>
          </w:tcPr>
          <w:p>
            <w:pPr>
              <w:pStyle w:val="12"/>
            </w:pPr>
            <w:r>
              <w:t>观众满意度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3.[13073022X000010998438]冀财教[2021]138号 河北省财政厅关于提前下达2022年中央补助地方公共文化服务体系建设专项资金预算的通知绩效目标表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13073022P008438100013</w:t>
            </w:r>
          </w:p>
        </w:tc>
        <w:tc>
          <w:tcPr>
            <w:tcW w:w="1587" w:type="dxa"/>
            <w:vAlign w:val="center"/>
          </w:tcPr>
          <w:p>
            <w:pPr>
              <w:pStyle w:val="13"/>
            </w:pPr>
            <w:r>
              <w:t>项目名称</w:t>
            </w:r>
          </w:p>
        </w:tc>
        <w:tc>
          <w:tcPr>
            <w:tcW w:w="4422" w:type="dxa"/>
            <w:gridSpan w:val="3"/>
            <w:vAlign w:val="center"/>
          </w:tcPr>
          <w:p>
            <w:pPr>
              <w:pStyle w:val="12"/>
            </w:pPr>
            <w:r>
              <w:t>[13073022X000010998438]冀财教[2021]138号 河北省财政厅关于提前下达2022年中央补助地方公共文化服务体系建设专项资金预算的通知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307.77</w:t>
            </w:r>
          </w:p>
        </w:tc>
        <w:tc>
          <w:tcPr>
            <w:tcW w:w="1587" w:type="dxa"/>
            <w:vAlign w:val="center"/>
          </w:tcPr>
          <w:p>
            <w:pPr>
              <w:pStyle w:val="13"/>
            </w:pPr>
            <w:r>
              <w:t>其中：财政    资金</w:t>
            </w:r>
          </w:p>
        </w:tc>
        <w:tc>
          <w:tcPr>
            <w:tcW w:w="1304" w:type="dxa"/>
            <w:vAlign w:val="center"/>
          </w:tcPr>
          <w:p>
            <w:pPr>
              <w:pStyle w:val="12"/>
            </w:pPr>
            <w:r>
              <w:t>307.77</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加快构建现代公共文化服务体系，保障广大群众开展文化活动基本权益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开展活动数量</w:t>
            </w:r>
          </w:p>
        </w:tc>
        <w:tc>
          <w:tcPr>
            <w:tcW w:w="2891" w:type="dxa"/>
            <w:vAlign w:val="center"/>
          </w:tcPr>
          <w:p>
            <w:pPr>
              <w:pStyle w:val="12"/>
            </w:pPr>
            <w:r>
              <w:t>开展群众读书看报、文化下乡活动数量</w:t>
            </w:r>
          </w:p>
        </w:tc>
        <w:tc>
          <w:tcPr>
            <w:tcW w:w="1276" w:type="dxa"/>
            <w:vAlign w:val="center"/>
          </w:tcPr>
          <w:p>
            <w:pPr>
              <w:pStyle w:val="12"/>
            </w:pPr>
            <w:r>
              <w:t>≥100场次</w:t>
            </w:r>
          </w:p>
        </w:tc>
        <w:tc>
          <w:tcPr>
            <w:tcW w:w="1843" w:type="dxa"/>
            <w:vAlign w:val="center"/>
          </w:tcPr>
          <w:p>
            <w:pPr>
              <w:pStyle w:val="12"/>
            </w:pPr>
            <w:r>
              <w:t>举办活动数量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群众参与活动较上年增长率</w:t>
            </w:r>
          </w:p>
        </w:tc>
        <w:tc>
          <w:tcPr>
            <w:tcW w:w="2891" w:type="dxa"/>
            <w:vAlign w:val="center"/>
          </w:tcPr>
          <w:p>
            <w:pPr>
              <w:pStyle w:val="12"/>
            </w:pPr>
            <w:r>
              <w:t>群众参与活动较上年增长率</w:t>
            </w:r>
          </w:p>
        </w:tc>
        <w:tc>
          <w:tcPr>
            <w:tcW w:w="1276" w:type="dxa"/>
            <w:vAlign w:val="center"/>
          </w:tcPr>
          <w:p>
            <w:pPr>
              <w:pStyle w:val="12"/>
            </w:pPr>
            <w:r>
              <w:t>≥95百分比</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开展活动所需时间</w:t>
            </w:r>
          </w:p>
        </w:tc>
        <w:tc>
          <w:tcPr>
            <w:tcW w:w="2891" w:type="dxa"/>
            <w:vAlign w:val="center"/>
          </w:tcPr>
          <w:p>
            <w:pPr>
              <w:pStyle w:val="12"/>
            </w:pPr>
            <w:r>
              <w:t>开展活动所需时间</w:t>
            </w:r>
          </w:p>
        </w:tc>
        <w:tc>
          <w:tcPr>
            <w:tcW w:w="1276" w:type="dxa"/>
            <w:vAlign w:val="center"/>
          </w:tcPr>
          <w:p>
            <w:pPr>
              <w:pStyle w:val="12"/>
            </w:pPr>
            <w:r>
              <w:t>1年度</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开展活动所需成本</w:t>
            </w:r>
          </w:p>
        </w:tc>
        <w:tc>
          <w:tcPr>
            <w:tcW w:w="2891" w:type="dxa"/>
            <w:vAlign w:val="center"/>
          </w:tcPr>
          <w:p>
            <w:pPr>
              <w:pStyle w:val="12"/>
            </w:pPr>
            <w:r>
              <w:t>开展活动所需成本</w:t>
            </w:r>
          </w:p>
        </w:tc>
        <w:tc>
          <w:tcPr>
            <w:tcW w:w="1276" w:type="dxa"/>
            <w:vAlign w:val="center"/>
          </w:tcPr>
          <w:p>
            <w:pPr>
              <w:pStyle w:val="12"/>
            </w:pPr>
            <w:r>
              <w:t>≥310万元</w:t>
            </w:r>
          </w:p>
        </w:tc>
        <w:tc>
          <w:tcPr>
            <w:tcW w:w="1843" w:type="dxa"/>
            <w:vAlign w:val="center"/>
          </w:tcPr>
          <w:p>
            <w:pPr>
              <w:pStyle w:val="12"/>
            </w:pPr>
            <w:r>
              <w:t>资金下达情况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开展文化活动服务水平</w:t>
            </w:r>
          </w:p>
        </w:tc>
        <w:tc>
          <w:tcPr>
            <w:tcW w:w="2891" w:type="dxa"/>
            <w:vAlign w:val="center"/>
          </w:tcPr>
          <w:p>
            <w:pPr>
              <w:pStyle w:val="12"/>
            </w:pPr>
            <w:r>
              <w:t>开展文化活动水平提升</w:t>
            </w:r>
          </w:p>
        </w:tc>
        <w:tc>
          <w:tcPr>
            <w:tcW w:w="1276" w:type="dxa"/>
            <w:vAlign w:val="center"/>
          </w:tcPr>
          <w:p>
            <w:pPr>
              <w:pStyle w:val="12"/>
            </w:pPr>
            <w:r>
              <w:t>≥95百分比</w:t>
            </w:r>
          </w:p>
        </w:tc>
        <w:tc>
          <w:tcPr>
            <w:tcW w:w="1843" w:type="dxa"/>
            <w:vAlign w:val="center"/>
          </w:tcPr>
          <w:p>
            <w:pPr>
              <w:pStyle w:val="12"/>
            </w:pPr>
            <w:r>
              <w:t>活动完成质量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加快构建现代公共文化服务体系</w:t>
            </w:r>
          </w:p>
        </w:tc>
        <w:tc>
          <w:tcPr>
            <w:tcW w:w="2891" w:type="dxa"/>
            <w:vAlign w:val="center"/>
          </w:tcPr>
          <w:p>
            <w:pPr>
              <w:pStyle w:val="12"/>
            </w:pPr>
            <w:r>
              <w:t>对群众文化生活产生的影响</w:t>
            </w:r>
          </w:p>
        </w:tc>
        <w:tc>
          <w:tcPr>
            <w:tcW w:w="1276" w:type="dxa"/>
            <w:vAlign w:val="center"/>
          </w:tcPr>
          <w:p>
            <w:pPr>
              <w:pStyle w:val="12"/>
            </w:pPr>
            <w:r>
              <w:t>≥95百分比</w:t>
            </w:r>
          </w:p>
        </w:tc>
        <w:tc>
          <w:tcPr>
            <w:tcW w:w="1843" w:type="dxa"/>
            <w:vAlign w:val="center"/>
          </w:tcPr>
          <w:p>
            <w:pPr>
              <w:pStyle w:val="12"/>
            </w:pPr>
            <w:r>
              <w:t>群众参与情况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群众对公共文化服务满意度</w:t>
            </w:r>
          </w:p>
        </w:tc>
        <w:tc>
          <w:tcPr>
            <w:tcW w:w="2891" w:type="dxa"/>
            <w:vAlign w:val="center"/>
          </w:tcPr>
          <w:p>
            <w:pPr>
              <w:pStyle w:val="12"/>
            </w:pPr>
            <w:r>
              <w:t>群众对公共文化服务满意度</w:t>
            </w:r>
          </w:p>
        </w:tc>
        <w:tc>
          <w:tcPr>
            <w:tcW w:w="1276" w:type="dxa"/>
            <w:vAlign w:val="center"/>
          </w:tcPr>
          <w:p>
            <w:pPr>
              <w:pStyle w:val="12"/>
            </w:pPr>
            <w:r>
              <w:t>≥90百分比</w:t>
            </w:r>
          </w:p>
        </w:tc>
        <w:tc>
          <w:tcPr>
            <w:tcW w:w="1843" w:type="dxa"/>
            <w:vAlign w:val="center"/>
          </w:tcPr>
          <w:p>
            <w:pPr>
              <w:pStyle w:val="12"/>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4.[13073022X000010998441]冀财教[2021]152号 河北省财政厅关于提前下达2022年省级非物质文化遗产保护专项资金的通知绩效目标表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13073022P00844110001J</w:t>
            </w:r>
          </w:p>
        </w:tc>
        <w:tc>
          <w:tcPr>
            <w:tcW w:w="1587" w:type="dxa"/>
            <w:vAlign w:val="center"/>
          </w:tcPr>
          <w:p>
            <w:pPr>
              <w:pStyle w:val="13"/>
            </w:pPr>
            <w:r>
              <w:t>项目名称</w:t>
            </w:r>
          </w:p>
        </w:tc>
        <w:tc>
          <w:tcPr>
            <w:tcW w:w="4422" w:type="dxa"/>
            <w:gridSpan w:val="3"/>
            <w:vAlign w:val="center"/>
          </w:tcPr>
          <w:p>
            <w:pPr>
              <w:pStyle w:val="12"/>
            </w:pPr>
            <w:r>
              <w:t>[13073022X000010998441]冀财教[2021]152号 河北省财政厅关于提前下达2022年省级非物质文化遗产保护专项资金的通知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0.60</w:t>
            </w:r>
          </w:p>
        </w:tc>
        <w:tc>
          <w:tcPr>
            <w:tcW w:w="1587" w:type="dxa"/>
            <w:vAlign w:val="center"/>
          </w:tcPr>
          <w:p>
            <w:pPr>
              <w:pStyle w:val="13"/>
            </w:pPr>
            <w:r>
              <w:t>其中：财政    资金</w:t>
            </w:r>
          </w:p>
        </w:tc>
        <w:tc>
          <w:tcPr>
            <w:tcW w:w="1304" w:type="dxa"/>
            <w:vAlign w:val="center"/>
          </w:tcPr>
          <w:p>
            <w:pPr>
              <w:pStyle w:val="12"/>
            </w:pPr>
            <w:r>
              <w:t>0.60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省级代表性传承人开展传习活动，推动非遗传承保护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省级非遗代表性项目个数</w:t>
            </w:r>
          </w:p>
        </w:tc>
        <w:tc>
          <w:tcPr>
            <w:tcW w:w="2891" w:type="dxa"/>
            <w:vAlign w:val="center"/>
          </w:tcPr>
          <w:p>
            <w:pPr>
              <w:pStyle w:val="12"/>
            </w:pPr>
            <w:r>
              <w:t>省级非遗代表性项目个数</w:t>
            </w:r>
          </w:p>
        </w:tc>
        <w:tc>
          <w:tcPr>
            <w:tcW w:w="1276" w:type="dxa"/>
            <w:vAlign w:val="center"/>
          </w:tcPr>
          <w:p>
            <w:pPr>
              <w:pStyle w:val="12"/>
            </w:pPr>
            <w:r>
              <w:t>1个</w:t>
            </w:r>
          </w:p>
        </w:tc>
        <w:tc>
          <w:tcPr>
            <w:tcW w:w="1843" w:type="dxa"/>
            <w:vAlign w:val="center"/>
          </w:tcPr>
          <w:p>
            <w:pPr>
              <w:pStyle w:val="12"/>
            </w:pPr>
            <w:r>
              <w:t>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省级非遗代表性项目完成率</w:t>
            </w:r>
          </w:p>
        </w:tc>
        <w:tc>
          <w:tcPr>
            <w:tcW w:w="2891" w:type="dxa"/>
            <w:vAlign w:val="center"/>
          </w:tcPr>
          <w:p>
            <w:pPr>
              <w:pStyle w:val="12"/>
            </w:pPr>
            <w:r>
              <w:t>省级非遗代表性项目完成率</w:t>
            </w:r>
          </w:p>
        </w:tc>
        <w:tc>
          <w:tcPr>
            <w:tcW w:w="1276" w:type="dxa"/>
            <w:vAlign w:val="center"/>
          </w:tcPr>
          <w:p>
            <w:pPr>
              <w:pStyle w:val="12"/>
            </w:pPr>
            <w:r>
              <w:t>≥95百分比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资金下达时间</w:t>
            </w:r>
          </w:p>
        </w:tc>
        <w:tc>
          <w:tcPr>
            <w:tcW w:w="2891" w:type="dxa"/>
            <w:vAlign w:val="center"/>
          </w:tcPr>
          <w:p>
            <w:pPr>
              <w:pStyle w:val="12"/>
            </w:pPr>
            <w:r>
              <w:t>资金下达情况</w:t>
            </w:r>
          </w:p>
        </w:tc>
        <w:tc>
          <w:tcPr>
            <w:tcW w:w="1276" w:type="dxa"/>
            <w:vAlign w:val="center"/>
          </w:tcPr>
          <w:p>
            <w:pPr>
              <w:pStyle w:val="12"/>
            </w:pPr>
            <w:r>
              <w:t>≥95百分比</w:t>
            </w:r>
          </w:p>
        </w:tc>
        <w:tc>
          <w:tcPr>
            <w:tcW w:w="1843" w:type="dxa"/>
            <w:vAlign w:val="center"/>
          </w:tcPr>
          <w:p>
            <w:pPr>
              <w:pStyle w:val="12"/>
            </w:pPr>
            <w:r>
              <w:t>按时下达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项目所需成本</w:t>
            </w:r>
          </w:p>
        </w:tc>
        <w:tc>
          <w:tcPr>
            <w:tcW w:w="2891" w:type="dxa"/>
            <w:vAlign w:val="center"/>
          </w:tcPr>
          <w:p>
            <w:pPr>
              <w:pStyle w:val="12"/>
            </w:pPr>
            <w:r>
              <w:t>项目所需成本</w:t>
            </w:r>
          </w:p>
        </w:tc>
        <w:tc>
          <w:tcPr>
            <w:tcW w:w="1276" w:type="dxa"/>
            <w:vAlign w:val="center"/>
          </w:tcPr>
          <w:p>
            <w:pPr>
              <w:pStyle w:val="12"/>
            </w:pPr>
            <w:r>
              <w:t>0.6万元</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 xml:space="preserve">社会参与非遗保护与传承 </w:t>
            </w:r>
          </w:p>
        </w:tc>
        <w:tc>
          <w:tcPr>
            <w:tcW w:w="2891" w:type="dxa"/>
            <w:vAlign w:val="center"/>
          </w:tcPr>
          <w:p>
            <w:pPr>
              <w:pStyle w:val="12"/>
            </w:pPr>
            <w:r>
              <w:t xml:space="preserve">社会参与非遗保护与传承 </w:t>
            </w:r>
          </w:p>
        </w:tc>
        <w:tc>
          <w:tcPr>
            <w:tcW w:w="1276" w:type="dxa"/>
            <w:vAlign w:val="center"/>
          </w:tcPr>
          <w:p>
            <w:pPr>
              <w:pStyle w:val="12"/>
            </w:pPr>
            <w:r>
              <w:t>≥95百分比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对中华优秀传统文化传承的影响</w:t>
            </w:r>
          </w:p>
        </w:tc>
        <w:tc>
          <w:tcPr>
            <w:tcW w:w="2891" w:type="dxa"/>
            <w:vAlign w:val="center"/>
          </w:tcPr>
          <w:p>
            <w:pPr>
              <w:pStyle w:val="12"/>
            </w:pPr>
            <w:r>
              <w:t>对中华优秀传统文化传承的影响</w:t>
            </w:r>
          </w:p>
        </w:tc>
        <w:tc>
          <w:tcPr>
            <w:tcW w:w="1276" w:type="dxa"/>
            <w:vAlign w:val="center"/>
          </w:tcPr>
          <w:p>
            <w:pPr>
              <w:pStyle w:val="12"/>
            </w:pPr>
            <w:r>
              <w:t>≥90百分比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社会公众对非物质文化遗产保护满意度</w:t>
            </w:r>
          </w:p>
        </w:tc>
        <w:tc>
          <w:tcPr>
            <w:tcW w:w="2891" w:type="dxa"/>
            <w:vAlign w:val="center"/>
          </w:tcPr>
          <w:p>
            <w:pPr>
              <w:pStyle w:val="12"/>
            </w:pPr>
            <w:r>
              <w:t>社会公众对非物质文化遗产保护满意度</w:t>
            </w:r>
          </w:p>
        </w:tc>
        <w:tc>
          <w:tcPr>
            <w:tcW w:w="1276" w:type="dxa"/>
            <w:vAlign w:val="center"/>
          </w:tcPr>
          <w:p>
            <w:pPr>
              <w:pStyle w:val="12"/>
            </w:pPr>
            <w:r>
              <w:t>≥90百分比</w:t>
            </w:r>
          </w:p>
        </w:tc>
        <w:tc>
          <w:tcPr>
            <w:tcW w:w="1843" w:type="dxa"/>
            <w:vAlign w:val="center"/>
          </w:tcPr>
          <w:p>
            <w:pPr>
              <w:pStyle w:val="12"/>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5.[13073022X000010998509]怀财字【2022】7号 专项经费绩效目标表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13073022P00850910007G</w:t>
            </w:r>
          </w:p>
        </w:tc>
        <w:tc>
          <w:tcPr>
            <w:tcW w:w="1587" w:type="dxa"/>
            <w:vAlign w:val="center"/>
          </w:tcPr>
          <w:p>
            <w:pPr>
              <w:pStyle w:val="13"/>
            </w:pPr>
            <w:r>
              <w:t>项目名称</w:t>
            </w:r>
          </w:p>
        </w:tc>
        <w:tc>
          <w:tcPr>
            <w:tcW w:w="4422" w:type="dxa"/>
            <w:gridSpan w:val="3"/>
            <w:vAlign w:val="center"/>
          </w:tcPr>
          <w:p>
            <w:pPr>
              <w:pStyle w:val="12"/>
            </w:pPr>
            <w:r>
              <w:t>[13073022X000010998509]怀财字【2022】7号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0.50</w:t>
            </w:r>
          </w:p>
        </w:tc>
        <w:tc>
          <w:tcPr>
            <w:tcW w:w="1587" w:type="dxa"/>
            <w:vAlign w:val="center"/>
          </w:tcPr>
          <w:p>
            <w:pPr>
              <w:pStyle w:val="13"/>
            </w:pPr>
            <w:r>
              <w:t>其中：财政    资金</w:t>
            </w:r>
          </w:p>
        </w:tc>
        <w:tc>
          <w:tcPr>
            <w:tcW w:w="1304" w:type="dxa"/>
            <w:vAlign w:val="center"/>
          </w:tcPr>
          <w:p>
            <w:pPr>
              <w:pStyle w:val="12"/>
            </w:pPr>
            <w:r>
              <w:t>0.50</w:t>
            </w:r>
          </w:p>
        </w:tc>
        <w:tc>
          <w:tcPr>
            <w:tcW w:w="1276" w:type="dxa"/>
            <w:vAlign w:val="center"/>
          </w:tcPr>
          <w:p>
            <w:pPr>
              <w:pStyle w:val="13"/>
            </w:pPr>
            <w:r>
              <w:t>其他资金</w:t>
            </w:r>
          </w:p>
        </w:tc>
        <w:tc>
          <w:tcPr>
            <w:tcW w:w="1843"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用于举办会议的经费，促进怀来旅游事业的发展</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举办会议的数量</w:t>
            </w:r>
          </w:p>
        </w:tc>
        <w:tc>
          <w:tcPr>
            <w:tcW w:w="2891" w:type="dxa"/>
            <w:vAlign w:val="center"/>
          </w:tcPr>
          <w:p>
            <w:pPr>
              <w:pStyle w:val="12"/>
            </w:pPr>
            <w:r>
              <w:t>举办会议的数量</w:t>
            </w:r>
          </w:p>
        </w:tc>
        <w:tc>
          <w:tcPr>
            <w:tcW w:w="1276" w:type="dxa"/>
            <w:vAlign w:val="center"/>
          </w:tcPr>
          <w:p>
            <w:pPr>
              <w:pStyle w:val="12"/>
            </w:pPr>
            <w:r>
              <w:t>1场</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举办会议较上年增长情况</w:t>
            </w:r>
          </w:p>
        </w:tc>
        <w:tc>
          <w:tcPr>
            <w:tcW w:w="2891" w:type="dxa"/>
            <w:vAlign w:val="center"/>
          </w:tcPr>
          <w:p>
            <w:pPr>
              <w:pStyle w:val="12"/>
            </w:pPr>
            <w:r>
              <w:t>举办会议较上年增长情况</w:t>
            </w:r>
          </w:p>
        </w:tc>
        <w:tc>
          <w:tcPr>
            <w:tcW w:w="1276" w:type="dxa"/>
            <w:vAlign w:val="center"/>
          </w:tcPr>
          <w:p>
            <w:pPr>
              <w:pStyle w:val="12"/>
            </w:pPr>
            <w:r>
              <w:t>≥90百分比</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按时下达经费</w:t>
            </w:r>
          </w:p>
        </w:tc>
        <w:tc>
          <w:tcPr>
            <w:tcW w:w="2891" w:type="dxa"/>
            <w:vAlign w:val="center"/>
          </w:tcPr>
          <w:p>
            <w:pPr>
              <w:pStyle w:val="12"/>
            </w:pPr>
            <w:r>
              <w:t>按时下达经费</w:t>
            </w:r>
          </w:p>
        </w:tc>
        <w:tc>
          <w:tcPr>
            <w:tcW w:w="1276" w:type="dxa"/>
            <w:vAlign w:val="center"/>
          </w:tcPr>
          <w:p>
            <w:pPr>
              <w:pStyle w:val="12"/>
            </w:pPr>
            <w:r>
              <w:t>≥95百分比</w:t>
            </w:r>
          </w:p>
        </w:tc>
        <w:tc>
          <w:tcPr>
            <w:tcW w:w="1843" w:type="dxa"/>
            <w:vAlign w:val="center"/>
          </w:tcPr>
          <w:p>
            <w:pPr>
              <w:pStyle w:val="12"/>
            </w:pPr>
            <w:r>
              <w:t>下达情况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举办会议所需的成本</w:t>
            </w:r>
          </w:p>
        </w:tc>
        <w:tc>
          <w:tcPr>
            <w:tcW w:w="2891" w:type="dxa"/>
            <w:vAlign w:val="center"/>
          </w:tcPr>
          <w:p>
            <w:pPr>
              <w:pStyle w:val="12"/>
            </w:pPr>
            <w:r>
              <w:t>举办会议所需的成本</w:t>
            </w:r>
          </w:p>
        </w:tc>
        <w:tc>
          <w:tcPr>
            <w:tcW w:w="1276" w:type="dxa"/>
            <w:vAlign w:val="center"/>
          </w:tcPr>
          <w:p>
            <w:pPr>
              <w:pStyle w:val="12"/>
            </w:pPr>
            <w:r>
              <w:t>≥95百分比</w:t>
            </w:r>
          </w:p>
        </w:tc>
        <w:tc>
          <w:tcPr>
            <w:tcW w:w="1843" w:type="dxa"/>
            <w:vAlign w:val="center"/>
          </w:tcPr>
          <w:p>
            <w:pPr>
              <w:pStyle w:val="12"/>
            </w:pPr>
            <w:r>
              <w:t>所需费用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通过举办会议，促进怀来旅游事业的发展</w:t>
            </w:r>
          </w:p>
        </w:tc>
        <w:tc>
          <w:tcPr>
            <w:tcW w:w="2891" w:type="dxa"/>
            <w:vAlign w:val="center"/>
          </w:tcPr>
          <w:p>
            <w:pPr>
              <w:pStyle w:val="12"/>
            </w:pPr>
            <w:r>
              <w:t>通过举办会议，促进怀来旅游事业的发展</w:t>
            </w:r>
          </w:p>
        </w:tc>
        <w:tc>
          <w:tcPr>
            <w:tcW w:w="1276" w:type="dxa"/>
            <w:vAlign w:val="center"/>
          </w:tcPr>
          <w:p>
            <w:pPr>
              <w:pStyle w:val="12"/>
            </w:pPr>
            <w:r>
              <w:t>≥90百分比</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推动旅游事业的发展，增加怀来的知名度</w:t>
            </w:r>
          </w:p>
        </w:tc>
        <w:tc>
          <w:tcPr>
            <w:tcW w:w="2891" w:type="dxa"/>
            <w:vAlign w:val="center"/>
          </w:tcPr>
          <w:p>
            <w:pPr>
              <w:pStyle w:val="12"/>
            </w:pPr>
            <w:r>
              <w:t>推动旅游事业的发展，增加怀来的知名度</w:t>
            </w:r>
          </w:p>
        </w:tc>
        <w:tc>
          <w:tcPr>
            <w:tcW w:w="1276" w:type="dxa"/>
            <w:vAlign w:val="center"/>
          </w:tcPr>
          <w:p>
            <w:pPr>
              <w:pStyle w:val="12"/>
            </w:pPr>
            <w:r>
              <w:t>≥90百分比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群众对高速公路运营管理的整体满意度</w:t>
            </w:r>
          </w:p>
        </w:tc>
        <w:tc>
          <w:tcPr>
            <w:tcW w:w="1276" w:type="dxa"/>
            <w:vAlign w:val="center"/>
          </w:tcPr>
          <w:p>
            <w:pPr>
              <w:pStyle w:val="12"/>
            </w:pPr>
            <w:r>
              <w:t>≥90百分比</w:t>
            </w:r>
          </w:p>
        </w:tc>
        <w:tc>
          <w:tcPr>
            <w:tcW w:w="1843" w:type="dxa"/>
            <w:vAlign w:val="center"/>
          </w:tcPr>
          <w:p>
            <w:pPr>
              <w:pStyle w:val="12"/>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办案及业务绩效目标表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13073022P00794210001C</w:t>
            </w:r>
          </w:p>
        </w:tc>
        <w:tc>
          <w:tcPr>
            <w:tcW w:w="1587" w:type="dxa"/>
            <w:vAlign w:val="center"/>
          </w:tcPr>
          <w:p>
            <w:pPr>
              <w:pStyle w:val="13"/>
            </w:pPr>
            <w:r>
              <w:t>项目名称</w:t>
            </w:r>
          </w:p>
        </w:tc>
        <w:tc>
          <w:tcPr>
            <w:tcW w:w="4422" w:type="dxa"/>
            <w:gridSpan w:val="3"/>
            <w:vAlign w:val="center"/>
          </w:tcPr>
          <w:p>
            <w:pPr>
              <w:pStyle w:val="12"/>
            </w:pPr>
            <w:r>
              <w:t>怀财字【2022】7号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22.00</w:t>
            </w:r>
          </w:p>
        </w:tc>
        <w:tc>
          <w:tcPr>
            <w:tcW w:w="1587" w:type="dxa"/>
            <w:vAlign w:val="center"/>
          </w:tcPr>
          <w:p>
            <w:pPr>
              <w:pStyle w:val="13"/>
            </w:pPr>
            <w:r>
              <w:t>其中：财政    资金</w:t>
            </w:r>
          </w:p>
        </w:tc>
        <w:tc>
          <w:tcPr>
            <w:tcW w:w="1304" w:type="dxa"/>
            <w:vAlign w:val="center"/>
          </w:tcPr>
          <w:p>
            <w:pPr>
              <w:pStyle w:val="12"/>
            </w:pPr>
            <w:r>
              <w:t>22.00</w:t>
            </w:r>
          </w:p>
        </w:tc>
        <w:tc>
          <w:tcPr>
            <w:tcW w:w="1276" w:type="dxa"/>
            <w:vAlign w:val="center"/>
          </w:tcPr>
          <w:p>
            <w:pPr>
              <w:pStyle w:val="13"/>
            </w:pPr>
            <w:r>
              <w:t>其他资金</w:t>
            </w:r>
          </w:p>
        </w:tc>
        <w:tc>
          <w:tcPr>
            <w:tcW w:w="1843"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房租利息收入用于办公日常支出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各项收入指标</w:t>
            </w:r>
          </w:p>
        </w:tc>
        <w:tc>
          <w:tcPr>
            <w:tcW w:w="2891" w:type="dxa"/>
            <w:vAlign w:val="center"/>
          </w:tcPr>
          <w:p>
            <w:pPr>
              <w:pStyle w:val="12"/>
            </w:pPr>
            <w:r>
              <w:t>房租利息和其他收入</w:t>
            </w:r>
          </w:p>
        </w:tc>
        <w:tc>
          <w:tcPr>
            <w:tcW w:w="1276" w:type="dxa"/>
            <w:vAlign w:val="center"/>
          </w:tcPr>
          <w:p>
            <w:pPr>
              <w:pStyle w:val="12"/>
            </w:pPr>
            <w:r>
              <w:t>≥90百分比</w:t>
            </w:r>
          </w:p>
        </w:tc>
        <w:tc>
          <w:tcPr>
            <w:tcW w:w="1843" w:type="dxa"/>
            <w:vAlign w:val="center"/>
          </w:tcPr>
          <w:p>
            <w:pPr>
              <w:pStyle w:val="12"/>
            </w:pPr>
            <w:r>
              <w:t>收入数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单位的正常运行及基本支出</w:t>
            </w:r>
          </w:p>
        </w:tc>
        <w:tc>
          <w:tcPr>
            <w:tcW w:w="2891" w:type="dxa"/>
            <w:vAlign w:val="center"/>
          </w:tcPr>
          <w:p>
            <w:pPr>
              <w:pStyle w:val="12"/>
            </w:pPr>
            <w:r>
              <w:t>保障各项活动的顺利开展</w:t>
            </w:r>
          </w:p>
        </w:tc>
        <w:tc>
          <w:tcPr>
            <w:tcW w:w="1276" w:type="dxa"/>
            <w:vAlign w:val="center"/>
          </w:tcPr>
          <w:p>
            <w:pPr>
              <w:pStyle w:val="12"/>
            </w:pPr>
            <w:r>
              <w:t>≥100百分比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完成时间</w:t>
            </w:r>
          </w:p>
        </w:tc>
        <w:tc>
          <w:tcPr>
            <w:tcW w:w="2891" w:type="dxa"/>
            <w:vAlign w:val="center"/>
          </w:tcPr>
          <w:p>
            <w:pPr>
              <w:pStyle w:val="12"/>
            </w:pPr>
            <w:r>
              <w:t>按期完成</w:t>
            </w:r>
          </w:p>
        </w:tc>
        <w:tc>
          <w:tcPr>
            <w:tcW w:w="1276" w:type="dxa"/>
            <w:vAlign w:val="center"/>
          </w:tcPr>
          <w:p>
            <w:pPr>
              <w:pStyle w:val="12"/>
            </w:pPr>
            <w:r>
              <w:t>≥95百分比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完成各项工作所需成本</w:t>
            </w:r>
          </w:p>
        </w:tc>
        <w:tc>
          <w:tcPr>
            <w:tcW w:w="2891" w:type="dxa"/>
            <w:vAlign w:val="center"/>
          </w:tcPr>
          <w:p>
            <w:pPr>
              <w:pStyle w:val="12"/>
            </w:pPr>
            <w:r>
              <w:t>完成各项工作所需成本</w:t>
            </w:r>
          </w:p>
        </w:tc>
        <w:tc>
          <w:tcPr>
            <w:tcW w:w="1276" w:type="dxa"/>
            <w:vAlign w:val="center"/>
          </w:tcPr>
          <w:p>
            <w:pPr>
              <w:pStyle w:val="12"/>
            </w:pPr>
            <w:r>
              <w:t>≥95百分比</w:t>
            </w:r>
          </w:p>
        </w:tc>
        <w:tc>
          <w:tcPr>
            <w:tcW w:w="1843" w:type="dxa"/>
            <w:vAlign w:val="center"/>
          </w:tcPr>
          <w:p>
            <w:pPr>
              <w:pStyle w:val="12"/>
            </w:pPr>
            <w:r>
              <w:t>成本数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提升公共文化服务水平</w:t>
            </w:r>
          </w:p>
        </w:tc>
        <w:tc>
          <w:tcPr>
            <w:tcW w:w="2891" w:type="dxa"/>
            <w:vAlign w:val="center"/>
          </w:tcPr>
          <w:p>
            <w:pPr>
              <w:pStyle w:val="12"/>
            </w:pPr>
            <w:r>
              <w:t>提升公共文化服务水平</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经济效益指标</w:t>
            </w:r>
          </w:p>
        </w:tc>
        <w:tc>
          <w:tcPr>
            <w:tcW w:w="1332" w:type="dxa"/>
            <w:vAlign w:val="center"/>
          </w:tcPr>
          <w:p>
            <w:pPr>
              <w:pStyle w:val="12"/>
            </w:pPr>
            <w:r>
              <w:t>文化发展对经济的影响</w:t>
            </w:r>
          </w:p>
        </w:tc>
        <w:tc>
          <w:tcPr>
            <w:tcW w:w="2891" w:type="dxa"/>
            <w:vAlign w:val="center"/>
          </w:tcPr>
          <w:p>
            <w:pPr>
              <w:pStyle w:val="12"/>
            </w:pPr>
            <w:r>
              <w:t>文化产业对经济发展的拉动作用</w:t>
            </w:r>
          </w:p>
        </w:tc>
        <w:tc>
          <w:tcPr>
            <w:tcW w:w="1276" w:type="dxa"/>
            <w:vAlign w:val="center"/>
          </w:tcPr>
          <w:p>
            <w:pPr>
              <w:pStyle w:val="12"/>
            </w:pPr>
            <w:r>
              <w:t>≥90百分比</w:t>
            </w:r>
          </w:p>
        </w:tc>
        <w:tc>
          <w:tcPr>
            <w:tcW w:w="1843" w:type="dxa"/>
            <w:vAlign w:val="center"/>
          </w:tcPr>
          <w:p>
            <w:pPr>
              <w:pStyle w:val="12"/>
            </w:pPr>
            <w:r>
              <w:t>影响率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群众对文化生活满意度</w:t>
            </w:r>
          </w:p>
        </w:tc>
        <w:tc>
          <w:tcPr>
            <w:tcW w:w="2891" w:type="dxa"/>
            <w:vAlign w:val="center"/>
          </w:tcPr>
          <w:p>
            <w:pPr>
              <w:pStyle w:val="12"/>
            </w:pPr>
            <w:r>
              <w:t>群众对文化生活满意度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7.办案及业务绩效目标表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357003怀来县鸡鸣驿城文物保护管理处</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13073022P00794710001Q</w:t>
            </w:r>
          </w:p>
        </w:tc>
        <w:tc>
          <w:tcPr>
            <w:tcW w:w="1587" w:type="dxa"/>
            <w:vAlign w:val="center"/>
          </w:tcPr>
          <w:p>
            <w:pPr>
              <w:pStyle w:val="13"/>
            </w:pPr>
            <w:r>
              <w:t>项目名称</w:t>
            </w:r>
          </w:p>
        </w:tc>
        <w:tc>
          <w:tcPr>
            <w:tcW w:w="4422" w:type="dxa"/>
            <w:gridSpan w:val="3"/>
            <w:vAlign w:val="center"/>
          </w:tcPr>
          <w:p>
            <w:pPr>
              <w:pStyle w:val="12"/>
            </w:pPr>
            <w:r>
              <w:t>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127.00</w:t>
            </w:r>
          </w:p>
        </w:tc>
        <w:tc>
          <w:tcPr>
            <w:tcW w:w="1587" w:type="dxa"/>
            <w:vAlign w:val="center"/>
          </w:tcPr>
          <w:p>
            <w:pPr>
              <w:pStyle w:val="13"/>
            </w:pPr>
            <w:r>
              <w:t>其中：财政    资金</w:t>
            </w:r>
          </w:p>
        </w:tc>
        <w:tc>
          <w:tcPr>
            <w:tcW w:w="1304" w:type="dxa"/>
            <w:vAlign w:val="center"/>
          </w:tcPr>
          <w:p>
            <w:pPr>
              <w:pStyle w:val="12"/>
            </w:pPr>
            <w:r>
              <w:t>127.00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办案及业务经费</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10%</w:t>
            </w:r>
          </w:p>
        </w:tc>
        <w:tc>
          <w:tcPr>
            <w:tcW w:w="1587" w:type="dxa"/>
            <w:vAlign w:val="center"/>
          </w:tcPr>
          <w:p>
            <w:pPr>
              <w:pStyle w:val="14"/>
            </w:pPr>
            <w:r>
              <w:t>50%</w:t>
            </w:r>
          </w:p>
        </w:tc>
        <w:tc>
          <w:tcPr>
            <w:tcW w:w="1304" w:type="dxa"/>
            <w:vAlign w:val="center"/>
          </w:tcPr>
          <w:p>
            <w:pPr>
              <w:pStyle w:val="14"/>
            </w:pPr>
            <w:r>
              <w:t>80%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政府采购率（%）</w:t>
            </w:r>
          </w:p>
        </w:tc>
        <w:tc>
          <w:tcPr>
            <w:tcW w:w="2891" w:type="dxa"/>
            <w:vAlign w:val="center"/>
          </w:tcPr>
          <w:p>
            <w:pPr>
              <w:pStyle w:val="12"/>
            </w:pPr>
            <w:r>
              <w:t>政府采购率（%）</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政府采购率</w:t>
            </w:r>
          </w:p>
        </w:tc>
        <w:tc>
          <w:tcPr>
            <w:tcW w:w="2891" w:type="dxa"/>
            <w:vAlign w:val="center"/>
          </w:tcPr>
          <w:p>
            <w:pPr>
              <w:pStyle w:val="12"/>
            </w:pPr>
            <w:r>
              <w:t>政府采购率</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及时性</w:t>
            </w:r>
          </w:p>
        </w:tc>
        <w:tc>
          <w:tcPr>
            <w:tcW w:w="2891" w:type="dxa"/>
            <w:vAlign w:val="center"/>
          </w:tcPr>
          <w:p>
            <w:pPr>
              <w:pStyle w:val="12"/>
            </w:pPr>
            <w:r>
              <w:t>及时性</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总成本</w:t>
            </w:r>
          </w:p>
        </w:tc>
        <w:tc>
          <w:tcPr>
            <w:tcW w:w="2891" w:type="dxa"/>
            <w:vAlign w:val="center"/>
          </w:tcPr>
          <w:p>
            <w:pPr>
              <w:pStyle w:val="12"/>
            </w:pPr>
            <w:r>
              <w:t>总成本</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保障机关单位正常运转</w:t>
            </w:r>
          </w:p>
        </w:tc>
        <w:tc>
          <w:tcPr>
            <w:tcW w:w="2891" w:type="dxa"/>
            <w:vAlign w:val="center"/>
          </w:tcPr>
          <w:p>
            <w:pPr>
              <w:pStyle w:val="12"/>
            </w:pPr>
            <w:r>
              <w:t>保障机关单位正常运转</w:t>
            </w:r>
          </w:p>
        </w:tc>
        <w:tc>
          <w:tcPr>
            <w:tcW w:w="1276" w:type="dxa"/>
            <w:vAlign w:val="center"/>
          </w:tcPr>
          <w:p>
            <w:pPr>
              <w:pStyle w:val="12"/>
            </w:pPr>
            <w:r>
              <w:t>90百分比</w:t>
            </w:r>
          </w:p>
        </w:tc>
        <w:tc>
          <w:tcPr>
            <w:tcW w:w="1843" w:type="dxa"/>
            <w:vAlign w:val="center"/>
          </w:tcPr>
          <w:p>
            <w:pPr>
              <w:pStyle w:val="12"/>
            </w:pPr>
            <w:r>
              <w:t>影响率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8.冀财教[2021]135号河北省财政厅关于提前下达2022年国家文物保护专项资金预算的通知绩效目标表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357003怀来县鸡鸣驿城文物保护管理处</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13073022P00794410001P</w:t>
            </w:r>
          </w:p>
        </w:tc>
        <w:tc>
          <w:tcPr>
            <w:tcW w:w="1587" w:type="dxa"/>
            <w:vAlign w:val="center"/>
          </w:tcPr>
          <w:p>
            <w:pPr>
              <w:pStyle w:val="13"/>
            </w:pPr>
            <w:r>
              <w:t>项目名称</w:t>
            </w:r>
          </w:p>
        </w:tc>
        <w:tc>
          <w:tcPr>
            <w:tcW w:w="4422" w:type="dxa"/>
            <w:gridSpan w:val="3"/>
            <w:vAlign w:val="center"/>
          </w:tcPr>
          <w:p>
            <w:pPr>
              <w:pStyle w:val="12"/>
            </w:pPr>
            <w:r>
              <w:t>冀财教[2021]135号河北省财政厅关于提前下达2022年国家文物保护专项资金预算的通知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68.00</w:t>
            </w:r>
          </w:p>
        </w:tc>
        <w:tc>
          <w:tcPr>
            <w:tcW w:w="1587" w:type="dxa"/>
            <w:vAlign w:val="center"/>
          </w:tcPr>
          <w:p>
            <w:pPr>
              <w:pStyle w:val="13"/>
            </w:pPr>
            <w:r>
              <w:t>其中：财政    资金</w:t>
            </w:r>
          </w:p>
        </w:tc>
        <w:tc>
          <w:tcPr>
            <w:tcW w:w="1304" w:type="dxa"/>
            <w:vAlign w:val="center"/>
          </w:tcPr>
          <w:p>
            <w:pPr>
              <w:pStyle w:val="12"/>
            </w:pPr>
            <w:r>
              <w:t>68.00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冀财教[2021]135号河北省财政厅关于提前下达2022年国家文物保护专项资金预算的通知</w:t>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10%</w:t>
            </w:r>
          </w:p>
        </w:tc>
        <w:tc>
          <w:tcPr>
            <w:tcW w:w="1587" w:type="dxa"/>
            <w:vAlign w:val="center"/>
          </w:tcPr>
          <w:p>
            <w:pPr>
              <w:pStyle w:val="14"/>
            </w:pPr>
            <w:r>
              <w:t>50%</w:t>
            </w:r>
          </w:p>
        </w:tc>
        <w:tc>
          <w:tcPr>
            <w:tcW w:w="1304" w:type="dxa"/>
            <w:vAlign w:val="center"/>
          </w:tcPr>
          <w:p>
            <w:pPr>
              <w:pStyle w:val="14"/>
            </w:pPr>
            <w:r>
              <w:t>80%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维修面积数量 </w:t>
            </w:r>
          </w:p>
        </w:tc>
        <w:tc>
          <w:tcPr>
            <w:tcW w:w="2891" w:type="dxa"/>
            <w:vAlign w:val="center"/>
          </w:tcPr>
          <w:p>
            <w:pPr>
              <w:pStyle w:val="12"/>
            </w:pPr>
            <w:r>
              <w:t>维修面积</w:t>
            </w:r>
          </w:p>
        </w:tc>
        <w:tc>
          <w:tcPr>
            <w:tcW w:w="1276" w:type="dxa"/>
            <w:vAlign w:val="center"/>
          </w:tcPr>
          <w:p>
            <w:pPr>
              <w:pStyle w:val="12"/>
            </w:pPr>
            <w:r>
              <w:t>100完成3处建筑壁画</w:t>
            </w:r>
          </w:p>
        </w:tc>
        <w:tc>
          <w:tcPr>
            <w:tcW w:w="1843" w:type="dxa"/>
            <w:vAlign w:val="center"/>
          </w:tcPr>
          <w:p>
            <w:pPr>
              <w:pStyle w:val="12"/>
            </w:pPr>
            <w:r>
              <w:t>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项目按计划完成率</w:t>
            </w:r>
          </w:p>
        </w:tc>
        <w:tc>
          <w:tcPr>
            <w:tcW w:w="2891" w:type="dxa"/>
            <w:vAlign w:val="center"/>
          </w:tcPr>
          <w:p>
            <w:pPr>
              <w:pStyle w:val="12"/>
            </w:pPr>
            <w:r>
              <w:t>严格执行方案设计和批复内容</w:t>
            </w:r>
          </w:p>
        </w:tc>
        <w:tc>
          <w:tcPr>
            <w:tcW w:w="1276" w:type="dxa"/>
            <w:vAlign w:val="center"/>
          </w:tcPr>
          <w:p>
            <w:pPr>
              <w:pStyle w:val="12"/>
            </w:pPr>
            <w:r>
              <w:t>100严格执行方案设计和批复内容</w:t>
            </w: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工程竣工及时率（%）</w:t>
            </w:r>
          </w:p>
        </w:tc>
        <w:tc>
          <w:tcPr>
            <w:tcW w:w="2891" w:type="dxa"/>
            <w:vAlign w:val="center"/>
          </w:tcPr>
          <w:p>
            <w:pPr>
              <w:pStyle w:val="12"/>
            </w:pPr>
            <w:r>
              <w:t>工程竣工及时率（%）</w:t>
            </w:r>
          </w:p>
        </w:tc>
        <w:tc>
          <w:tcPr>
            <w:tcW w:w="1276" w:type="dxa"/>
            <w:vAlign w:val="center"/>
          </w:tcPr>
          <w:p>
            <w:pPr>
              <w:pStyle w:val="12"/>
            </w:pPr>
            <w:r>
              <w:t>100严格执行方案设计和批复内容</w:t>
            </w:r>
          </w:p>
          <w:p>
            <w:pPr>
              <w:pStyle w:val="12"/>
            </w:pP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项目实际成本</w:t>
            </w:r>
          </w:p>
        </w:tc>
        <w:tc>
          <w:tcPr>
            <w:tcW w:w="2891" w:type="dxa"/>
            <w:vAlign w:val="center"/>
          </w:tcPr>
          <w:p>
            <w:pPr>
              <w:pStyle w:val="12"/>
            </w:pPr>
            <w:r>
              <w:t>项目实际成本</w:t>
            </w:r>
          </w:p>
        </w:tc>
        <w:tc>
          <w:tcPr>
            <w:tcW w:w="1276" w:type="dxa"/>
            <w:vAlign w:val="center"/>
          </w:tcPr>
          <w:p>
            <w:pPr>
              <w:pStyle w:val="12"/>
            </w:pPr>
            <w:r>
              <w:t>100严格执行方案设计和批复内容</w:t>
            </w: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 全国文物保护水平与全民文物保护意识</w:t>
            </w:r>
          </w:p>
        </w:tc>
        <w:tc>
          <w:tcPr>
            <w:tcW w:w="2891" w:type="dxa"/>
            <w:vAlign w:val="center"/>
          </w:tcPr>
          <w:p>
            <w:pPr>
              <w:pStyle w:val="12"/>
            </w:pPr>
            <w:r>
              <w:t>保障文物安全</w:t>
            </w:r>
          </w:p>
        </w:tc>
        <w:tc>
          <w:tcPr>
            <w:tcW w:w="1276" w:type="dxa"/>
            <w:vAlign w:val="center"/>
          </w:tcPr>
          <w:p>
            <w:pPr>
              <w:pStyle w:val="12"/>
            </w:pPr>
            <w:r>
              <w:t>100严格执行方案设计和批复内容</w:t>
            </w: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社会公众对重点文物保护满意度</w:t>
            </w:r>
          </w:p>
        </w:tc>
        <w:tc>
          <w:tcPr>
            <w:tcW w:w="2891" w:type="dxa"/>
            <w:vAlign w:val="center"/>
          </w:tcPr>
          <w:p>
            <w:pPr>
              <w:pStyle w:val="12"/>
            </w:pPr>
            <w:r>
              <w:t>增强群众自豪感、认同感</w:t>
            </w:r>
          </w:p>
        </w:tc>
        <w:tc>
          <w:tcPr>
            <w:tcW w:w="1276" w:type="dxa"/>
            <w:vAlign w:val="center"/>
          </w:tcPr>
          <w:p>
            <w:pPr>
              <w:pStyle w:val="12"/>
            </w:pPr>
            <w:r>
              <w:t>100增强群众自豪感、认同感</w:t>
            </w:r>
          </w:p>
        </w:tc>
        <w:tc>
          <w:tcPr>
            <w:tcW w:w="1843" w:type="dxa"/>
            <w:vAlign w:val="center"/>
          </w:tcPr>
          <w:p>
            <w:pPr>
              <w:pStyle w:val="12"/>
            </w:pPr>
            <w:r>
              <w:t>支出标准</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MmM3MWVhMTU1NzAxNDA0ZTFlZTE0MjkyZDg3NjcifQ=="/>
  </w:docVars>
  <w:rsids>
    <w:rsidRoot w:val="00672135"/>
    <w:rsid w:val="00672135"/>
    <w:rsid w:val="006A1219"/>
    <w:rsid w:val="00751BC7"/>
    <w:rsid w:val="009428A3"/>
    <w:rsid w:val="00D41E9B"/>
    <w:rsid w:val="00EE626B"/>
    <w:rsid w:val="00F12001"/>
    <w:rsid w:val="035D3297"/>
    <w:rsid w:val="04CE1F73"/>
    <w:rsid w:val="3005243D"/>
    <w:rsid w:val="317258B0"/>
    <w:rsid w:val="3B2A71FC"/>
    <w:rsid w:val="3DE9514C"/>
    <w:rsid w:val="44A40D42"/>
    <w:rsid w:val="528374C6"/>
    <w:rsid w:val="5BB93F58"/>
    <w:rsid w:val="5FE377F5"/>
    <w:rsid w:val="672B48E5"/>
    <w:rsid w:val="6F717A6C"/>
    <w:rsid w:val="7C48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uiPriority w:val="99"/>
    <w:pPr>
      <w:tabs>
        <w:tab w:val="center" w:pos="4153"/>
        <w:tab w:val="right" w:pos="8306"/>
      </w:tabs>
      <w:snapToGrid w:val="0"/>
    </w:pPr>
    <w:rPr>
      <w:sz w:val="18"/>
      <w:szCs w:val="18"/>
    </w:rPr>
  </w:style>
  <w:style w:type="paragraph" w:styleId="3">
    <w:name w:val="header"/>
    <w:basedOn w:val="1"/>
    <w:link w:val="1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uiPriority w:val="99"/>
    <w:rPr>
      <w:rFonts w:eastAsia="Times New Roman"/>
      <w:sz w:val="18"/>
      <w:szCs w:val="18"/>
      <w:lang w:eastAsia="uk-UA"/>
    </w:rPr>
  </w:style>
  <w:style w:type="character" w:customStyle="1" w:styleId="1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2022-04-20T14:34:17Z</dcterms:created>
  <dcterms:modified xsi:type="dcterms:W3CDTF">2022-04-20T06:34:17Z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2022-04-20T14:34:17Z</dcterms:created>
  <dcterms:modified xsi:type="dcterms:W3CDTF">2022-04-20T06:34:17Z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2022-04-20T14:34:18Z</dcterms:created>
  <dcterms:modified xsi:type="dcterms:W3CDTF">2022-04-20T06:34:18Z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2022-04-20T14:34:17Z</dcterms:created>
  <dcterms:modified xsi:type="dcterms:W3CDTF">2022-04-20T06:34:17Z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7B5AE6B-2BE4-486A-990C-7E9EC34BCBC2}">
  <ds:schemaRefs/>
</ds:datastoreItem>
</file>

<file path=customXml/itemProps10.xml><?xml version="1.0" encoding="utf-8"?>
<ds:datastoreItem xmlns:ds="http://schemas.openxmlformats.org/officeDocument/2006/customXml" ds:itemID="{169521E9-DE34-457E-8863-0C551E9EFE3F}">
  <ds:schemaRefs/>
</ds:datastoreItem>
</file>

<file path=customXml/itemProps11.xml><?xml version="1.0" encoding="utf-8"?>
<ds:datastoreItem xmlns:ds="http://schemas.openxmlformats.org/officeDocument/2006/customXml" ds:itemID="{F3211ACA-6BB9-44A7-BD9C-017B2786AC0A}">
  <ds:schemaRefs/>
</ds:datastoreItem>
</file>

<file path=customXml/itemProps12.xml><?xml version="1.0" encoding="utf-8"?>
<ds:datastoreItem xmlns:ds="http://schemas.openxmlformats.org/officeDocument/2006/customXml" ds:itemID="{51EE3422-FFB0-40F0-B185-026AD933B0ED}">
  <ds:schemaRefs/>
</ds:datastoreItem>
</file>

<file path=customXml/itemProps13.xml><?xml version="1.0" encoding="utf-8"?>
<ds:datastoreItem xmlns:ds="http://schemas.openxmlformats.org/officeDocument/2006/customXml" ds:itemID="{F0DF7C1F-16FA-4F6C-B6CD-38B0FA6320AB}">
  <ds:schemaRefs/>
</ds:datastoreItem>
</file>

<file path=customXml/itemProps14.xml><?xml version="1.0" encoding="utf-8"?>
<ds:datastoreItem xmlns:ds="http://schemas.openxmlformats.org/officeDocument/2006/customXml" ds:itemID="{B3236471-949A-406D-BF53-F6CB04B41B1D}">
  <ds:schemaRefs/>
</ds:datastoreItem>
</file>

<file path=customXml/itemProps15.xml><?xml version="1.0" encoding="utf-8"?>
<ds:datastoreItem xmlns:ds="http://schemas.openxmlformats.org/officeDocument/2006/customXml" ds:itemID="{7C31AE4B-B18D-4054-9992-056011953FD6}">
  <ds:schemaRefs/>
</ds:datastoreItem>
</file>

<file path=customXml/itemProps16.xml><?xml version="1.0" encoding="utf-8"?>
<ds:datastoreItem xmlns:ds="http://schemas.openxmlformats.org/officeDocument/2006/customXml" ds:itemID="{80CB91DE-0D90-4ABC-BEA5-2CB365C64480}">
  <ds:schemaRefs/>
</ds:datastoreItem>
</file>

<file path=customXml/itemProps17.xml><?xml version="1.0" encoding="utf-8"?>
<ds:datastoreItem xmlns:ds="http://schemas.openxmlformats.org/officeDocument/2006/customXml" ds:itemID="{1A6C9FD3-96DF-4717-AF8C-1BEDDF990200}">
  <ds:schemaRefs/>
</ds:datastoreItem>
</file>

<file path=customXml/itemProps18.xml><?xml version="1.0" encoding="utf-8"?>
<ds:datastoreItem xmlns:ds="http://schemas.openxmlformats.org/officeDocument/2006/customXml" ds:itemID="{D2AADA18-F57A-475A-A4A4-F5D5933B1026}">
  <ds:schemaRefs/>
</ds:datastoreItem>
</file>

<file path=customXml/itemProps19.xml><?xml version="1.0" encoding="utf-8"?>
<ds:datastoreItem xmlns:ds="http://schemas.openxmlformats.org/officeDocument/2006/customXml" ds:itemID="{9D4EF622-8FC4-48CA-A4B4-5C3001BFDBBA}">
  <ds:schemaRefs/>
</ds:datastoreItem>
</file>

<file path=customXml/itemProps2.xml><?xml version="1.0" encoding="utf-8"?>
<ds:datastoreItem xmlns:ds="http://schemas.openxmlformats.org/officeDocument/2006/customXml" ds:itemID="{AF96F3CB-A6B4-45D0-B1C2-C89CD07C99C8}">
  <ds:schemaRefs/>
</ds:datastoreItem>
</file>

<file path=customXml/itemProps20.xml><?xml version="1.0" encoding="utf-8"?>
<ds:datastoreItem xmlns:ds="http://schemas.openxmlformats.org/officeDocument/2006/customXml" ds:itemID="{B94646E9-6D8E-49CD-A523-9E646A5888BE}">
  <ds:schemaRefs/>
</ds:datastoreItem>
</file>

<file path=customXml/itemProps3.xml><?xml version="1.0" encoding="utf-8"?>
<ds:datastoreItem xmlns:ds="http://schemas.openxmlformats.org/officeDocument/2006/customXml" ds:itemID="{C7CC7629-5FF8-4F75-B0D9-CA130094C7B6}">
  <ds:schemaRefs/>
</ds:datastoreItem>
</file>

<file path=customXml/itemProps4.xml><?xml version="1.0" encoding="utf-8"?>
<ds:datastoreItem xmlns:ds="http://schemas.openxmlformats.org/officeDocument/2006/customXml" ds:itemID="{58A4E6FD-D767-44FC-BC09-6CD2048A190F}">
  <ds:schemaRefs/>
</ds:datastoreItem>
</file>

<file path=customXml/itemProps5.xml><?xml version="1.0" encoding="utf-8"?>
<ds:datastoreItem xmlns:ds="http://schemas.openxmlformats.org/officeDocument/2006/customXml" ds:itemID="{6B37605E-02BF-431E-BC89-EC95C73E5B1E}">
  <ds:schemaRefs/>
</ds:datastoreItem>
</file>

<file path=customXml/itemProps6.xml><?xml version="1.0" encoding="utf-8"?>
<ds:datastoreItem xmlns:ds="http://schemas.openxmlformats.org/officeDocument/2006/customXml" ds:itemID="{5AB60A1D-EB86-46D8-852C-8C1D557D2B19}">
  <ds:schemaRefs/>
</ds:datastoreItem>
</file>

<file path=customXml/itemProps7.xml><?xml version="1.0" encoding="utf-8"?>
<ds:datastoreItem xmlns:ds="http://schemas.openxmlformats.org/officeDocument/2006/customXml" ds:itemID="{3C317A2C-C16A-4A6A-8826-1A37B3D11FF0}">
  <ds:schemaRefs/>
</ds:datastoreItem>
</file>

<file path=customXml/itemProps8.xml><?xml version="1.0" encoding="utf-8"?>
<ds:datastoreItem xmlns:ds="http://schemas.openxmlformats.org/officeDocument/2006/customXml" ds:itemID="{34745101-340D-4A76-9DB6-72ADFFB920CE}">
  <ds:schemaRefs/>
</ds:datastoreItem>
</file>

<file path=customXml/itemProps9.xml><?xml version="1.0" encoding="utf-8"?>
<ds:datastoreItem xmlns:ds="http://schemas.openxmlformats.org/officeDocument/2006/customXml" ds:itemID="{53E150E0-6E1C-47E8-BD88-774EAF74BA02}">
  <ds:schemaRefs/>
</ds:datastoreItem>
</file>

<file path=docProps/app.xml><?xml version="1.0" encoding="utf-8"?>
<Properties xmlns="http://schemas.openxmlformats.org/officeDocument/2006/extended-properties" xmlns:vt="http://schemas.openxmlformats.org/officeDocument/2006/docPropsVTypes">
  <Template>Normal</Template>
  <Pages>15</Pages>
  <Words>1101</Words>
  <Characters>6276</Characters>
  <Lines>52</Lines>
  <Paragraphs>14</Paragraphs>
  <TotalTime>2</TotalTime>
  <ScaleCrop>false</ScaleCrop>
  <LinksUpToDate>false</LinksUpToDate>
  <CharactersWithSpaces>7363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2022-06-02T01:21:00Z</dcterms:created>
  <dc:creator>Administrator</dc:creator>
  <cp:lastModifiedBy>黄慌慌</cp:lastModifiedBy>
  <dcterms:modified xsi:type="dcterms:W3CDTF">2024-01-04T05:03:50Z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311DA15E08E04E318AC3244CF1AD8A82_13</vt:lpwstr>
  </property>
</Properties>
</file>