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怀来县工商业联合会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bookmarkStart w:id="9" w:name="_GoBack"/>
      <w:bookmarkEnd w:id="9"/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怀来县工商业联合会编制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根据《怀来县工商业联合会职能配置、内设机构和人员编制规定》，怀来县工商业联合会的主要职责是：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怀来县工商业联合会是由全县工商界组成的人民团体和民间商会，具有统战性、经济 性、和民间性相统一的特征，是县委、县政府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</w:t>
      </w:r>
      <w:r>
        <w:rPr>
          <w:rFonts w:hint="eastAsia"/>
          <w:lang w:eastAsia="zh-CN"/>
        </w:rPr>
        <w:t>非公有制经济人士</w:t>
      </w:r>
      <w:r>
        <w:t>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</w:t>
      </w:r>
      <w:r>
        <w:rPr>
          <w:rFonts w:hint="eastAsia"/>
          <w:lang w:eastAsia="zh-CN"/>
        </w:rPr>
        <w:t>经济的助手</w:t>
      </w:r>
      <w:r>
        <w:t>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县委、县政府</w:t>
      </w:r>
      <w:r>
        <w:t>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105.41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14.90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次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其他交通运输、仓储服务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C15990000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17.46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17.46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129.41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105.41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85.11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24.21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7.91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3.46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129.41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71.02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13.90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C95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2024-03-28T16:00:24Z</dcterms:created>
  <dcterms:modified xsi:type="dcterms:W3CDTF">2024-03-28T08:00:24Z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2024-03-28T16:00:21Z</dcterms:created>
  <dcterms:modified xsi:type="dcterms:W3CDTF">2024-03-28T08:00:21Z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2024-03-28T16:00:21Z</dcterms:created>
  <dcterms:modified xsi:type="dcterms:W3CDTF">2024-03-28T08:00:21Z</dcterms:modified>
</cp:coreProperties>
</file>

<file path=customXml/itemProps1.xml><?xml version="1.0" encoding="utf-8"?>
<ds:datastoreItem xmlns:ds="http://schemas.openxmlformats.org/officeDocument/2006/customXml" ds:itemID="{5e3a330b-53d8-4345-9c05-f4173632fdb1}">
  <ds:schemaRefs/>
</ds:datastoreItem>
</file>

<file path=customXml/itemProps2.xml><?xml version="1.0" encoding="utf-8"?>
<ds:datastoreItem xmlns:ds="http://schemas.openxmlformats.org/officeDocument/2006/customXml" ds:itemID="{3d005a0e-4e1d-4aed-97aa-035155eb373b}">
  <ds:schemaRefs/>
</ds:datastoreItem>
</file>

<file path=customXml/itemProps3.xml><?xml version="1.0" encoding="utf-8"?>
<ds:datastoreItem xmlns:ds="http://schemas.openxmlformats.org/officeDocument/2006/customXml" ds:itemID="{9397f1d6-aaed-40cf-a2d7-e5a1ad89966e}">
  <ds:schemaRefs/>
</ds:datastoreItem>
</file>

<file path=customXml/itemProps4.xml><?xml version="1.0" encoding="utf-8"?>
<ds:datastoreItem xmlns:ds="http://schemas.openxmlformats.org/officeDocument/2006/customXml" ds:itemID="{25934650-d94e-4597-a050-5e3d69f0848d}">
  <ds:schemaRefs/>
</ds:datastoreItem>
</file>

<file path=customXml/itemProps5.xml><?xml version="1.0" encoding="utf-8"?>
<ds:datastoreItem xmlns:ds="http://schemas.openxmlformats.org/officeDocument/2006/customXml" ds:itemID="{66d09f0e-dec6-4435-82ad-18d146a39c47}">
  <ds:schemaRefs/>
</ds:datastoreItem>
</file>

<file path=customXml/itemProps6.xml><?xml version="1.0" encoding="utf-8"?>
<ds:datastoreItem xmlns:ds="http://schemas.openxmlformats.org/officeDocument/2006/customXml" ds:itemID="{33ec2442-2d37-4966-bf20-ada7c030e1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2024-03-28T16:00:00Z</dcterms:created>
  <dc:creator>lenovo</dc:creator>
  <cp:lastModifiedBy>ᴇʟɪᴀᴜᴋ</cp:lastModifiedBy>
  <dcterms:modified xsi:type="dcterms:W3CDTF">2024-04-15T08:13:20Z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937898E2AC624C08A7238F616BAE5AB6</vt:lpwstr>
  </property>
</Properties>
</file>