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怀来县机关事务服务中心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怀来县机关事务服务中心编制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ascii="方正小标宋_GBK" w:hAnsi="方正小标宋_GBK" w:eastAsia="方正小标宋_GBK" w:cs="方正小标宋_GBK"/>
          <w:color w:val="000000"/>
          <w:sz w:val="36"/>
        </w:rPr>
      </w:pPr>
    </w:p>
    <w:p>
      <w:pPr>
        <w:spacing w:before="0" w:after="0" w:line="240" w:lineRule="auto"/>
        <w:ind w:firstLine="0"/>
        <w:jc w:val="center"/>
        <w:outlineLvl w:val="9"/>
      </w:pPr>
      <w:bookmarkStart w:id="9" w:name="_GoBack"/>
      <w:bookmarkEnd w:id="9"/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一、怀来县机关事务服务中心收支预算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r>
        <w:br w:type="page"/>
      </w:r>
      <w:r>
        <w:br w:type="textWrapping"/>
      </w: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根据《怀来县机关事务服务中心职能配置、内设机构和人员编制规定》，怀来县机关事务服务中心的主要职责是：</w:t>
      </w:r>
    </w:p>
    <w:p>
      <w:pPr>
        <w:pStyle w:val="8"/>
      </w:pPr>
      <w:r>
        <w:t>节能管理，县直部门机关后勤服务，县公共机构节能管理，公务用车管理，机关办公用房管理，承担本部门业务和事务管理。</w:t>
      </w:r>
    </w:p>
    <w:p>
      <w:pPr>
        <w:pStyle w:val="8"/>
        <w:sectPr>
          <w:footerReference r:id="rId3" w:type="default"/>
          <w:footerReference r:id="rId4" w:type="even"/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指导并组织实施机关事务工作人员岗位培训，按规定对单位工人岗位技术等级考核；指导、协调机关大院及其他办公区绿化卫生、安全、环境综合事项等。机关大院及其他办公区后勤服务工作、运转维护；机关标准化建设、会务。办公楼机关食堂管理；机关办公楼修缮、供水电暖以及机关环境绿化美化、卫生保洁、安全保卫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430怀来县机关事务服务中心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2324.38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2324.38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2324.38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2324.38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2324.38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497.14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293.34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1827.24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430怀来县机关事务服务中心</w:t>
            </w:r>
          </w:p>
        </w:tc>
        <w:tc>
          <w:tcPr>
            <w:tcW w:w="908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9082" w:type="dxa"/>
            <w:gridSpan w:val="6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86.42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86.42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6.40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11.25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38.80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38.80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24.20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22.72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22.72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30.33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30.33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13.38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13.38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1.33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1.33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0.95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0.95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22.74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22.74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20.83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20.83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  <w:tc>
          <w:tcPr>
            <w:tcW w:w="151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178.00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178.00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  <w:tc>
          <w:tcPr>
            <w:tcW w:w="151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85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430怀来县机关事务服务中心</w:t>
            </w:r>
          </w:p>
        </w:tc>
        <w:tc>
          <w:tcPr>
            <w:tcW w:w="6888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643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>
            <w:pPr>
              <w:pStyle w:val="11"/>
            </w:pPr>
            <w:r>
              <w:t>上年结转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1827.24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1827.24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1827.24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  <w:r>
              <w:t>1827.24</w:t>
            </w: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  <w:tc>
          <w:tcPr>
            <w:tcW w:w="1378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1、怀财字【2024】7号 政府大楼运行经费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怀来县机关事务服务中心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2、怀财字【2024】7号公车购置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怀来县机关事务服务中心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3、怀财字【2024】7号行政审批局大楼运行经费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  <w:r>
              <w:t>怀来县机关事务服务中心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1033.20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1033.20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4、怀财字【2024】7号政府大楼运行经费</w:t>
            </w:r>
          </w:p>
        </w:tc>
        <w:tc>
          <w:tcPr>
            <w:tcW w:w="1701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3"/>
            </w:pPr>
            <w:r>
              <w:t xml:space="preserve">      ——怀财字【2024】7号政府大楼运行经费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13"/>
            </w:pPr>
            <w:r>
              <w:t>怀来县机关事务服务中心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2010103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538.60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538.60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701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2010303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29.44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  <w:r>
              <w:t>29.44</w:t>
            </w: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  <w:tc>
          <w:tcPr>
            <w:tcW w:w="1378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430怀来县机关事务服务中心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2324.38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2324.38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1033.20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1033.20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1112.20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1112.20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29.44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29.44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23.54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23.54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430怀来县机关事务服务中心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308.00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308.00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308.00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308.00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178.00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178.00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430怀来县机关事务服务中心</w:t>
            </w:r>
          </w:p>
        </w:tc>
        <w:tc>
          <w:tcPr>
            <w:tcW w:w="7710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6746" w:type="dxa"/>
            <w:gridSpan w:val="7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2024年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155.44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155.44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155.44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怀来县机关事务服务中心小计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155.44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155.44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155.44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怀财字【2024】7号公车购置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轿车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A02030501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辆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鼠标器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A02021110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其他输入输出设备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其他输入输出设备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热水器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A02061819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其他视频会议系统设备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A02080899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其他视频会议系统设备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A02080899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其他视频会议系统设备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A02080899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其他视频会议系统设备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A02080899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其他视频会议系统设备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A02080899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19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8.55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8.55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8.55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其他视频会议系统设备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A02080899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1.26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1.28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厨房操作台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A05020101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厨房操作台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A05020101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厨房操作台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A05020101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厨房操作台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A05020101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其他厨卫用具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A05020199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3.77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3.77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568.04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其他厨卫用具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A05020199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430怀来县机关事务服务中心</w:t>
            </w:r>
          </w:p>
        </w:tc>
        <w:tc>
          <w:tcPr>
            <w:tcW w:w="459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车辆数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20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21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  <w:tc>
          <w:tcPr>
            <w:tcW w:w="765" w:type="dxa"/>
            <w:vAlign w:val="center"/>
          </w:tcPr>
          <w:p>
            <w:pPr>
              <w:pStyle w:val="15"/>
            </w:pPr>
            <w:r>
              <w:t>17</w:t>
            </w:r>
          </w:p>
        </w:tc>
        <w:tc>
          <w:tcPr>
            <w:tcW w:w="765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怀来县机关事务服务中心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20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21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  <w:tc>
          <w:tcPr>
            <w:tcW w:w="765" w:type="dxa"/>
            <w:vAlign w:val="center"/>
          </w:tcPr>
          <w:p>
            <w:pPr>
              <w:pStyle w:val="14"/>
            </w:pPr>
            <w:r>
              <w:t>17</w:t>
            </w:r>
          </w:p>
        </w:tc>
        <w:tc>
          <w:tcPr>
            <w:tcW w:w="765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一、怀来县机关事务服务中心收支预算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430001怀来县机关事务服务中心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2324.38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2324.38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2324.38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2324.38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2324.38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497.14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293.34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203.80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1827.24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259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430001怀来县机关事务服务中心</w:t>
            </w:r>
          </w:p>
        </w:tc>
        <w:tc>
          <w:tcPr>
            <w:tcW w:w="3606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11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4252" w:type="dxa"/>
            <w:vMerge w:val="continue"/>
          </w:tcPr>
          <w:p/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02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25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  <w:tc>
          <w:tcPr>
            <w:tcW w:w="1202" w:type="dxa"/>
            <w:vAlign w:val="center"/>
          </w:tcPr>
          <w:p>
            <w:pPr>
              <w:pStyle w:val="16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86.42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86.42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6.40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11.25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11.25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0.29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38.80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38.80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24.20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22.72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22.72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11.00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30.33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13.38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13.38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1.33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0.95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22.74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22.74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20.83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20.83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2.70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  <w:r>
              <w:t>0.01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252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  <w:tc>
          <w:tcPr>
            <w:tcW w:w="1202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430001怀来县机关事务服务中心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4.40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178.00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178.00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11.80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2010301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430001怀来县机关事务服务中心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1827.24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1827.24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政府大楼运行经费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怀财字【2024】7号公车购置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怀财字【2024】7号行政审批局大楼运行经费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1033.20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1033.20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3"/>
            </w:pPr>
            <w:r>
              <w:t>怀财字【2024】7号政府大楼运行经费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2010103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538.60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538.60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2010303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29.44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29.44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430001怀来县机关事务服务中心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2324.38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2324.38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1033.20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1033.20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1112.20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1112.20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29.44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29.44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23.54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23.54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430001怀来县机关事务服务中心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308.00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308.00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308.00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308.00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304.00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126.00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178.00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178.00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kZmViMGM2ZDMzNzFkNWJiMGI1NWM2ODE2NDJiZDUifQ=="/>
  </w:docVars>
  <w:rsids>
    <w:rsidRoot w:val="00000000"/>
    <w:rsid w:val="5F3F3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2024-03-28T15:52:04Z</dcterms:created>
  <dcterms:modified xsi:type="dcterms:W3CDTF">2024-03-28T07:52:04Z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2024-03-28T15:52:01Z</dcterms:created>
  <dcterms:modified xsi:type="dcterms:W3CDTF">2024-03-28T07:52:01Z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2024-03-28T15:52:01Z</dcterms:created>
  <dcterms:modified xsi:type="dcterms:W3CDTF">2024-03-28T07:52:01Z</dcterms:modified>
</cp:coreProperties>
</file>

<file path=customXml/itemProps1.xml><?xml version="1.0" encoding="utf-8"?>
<ds:datastoreItem xmlns:ds="http://schemas.openxmlformats.org/officeDocument/2006/customXml" ds:itemID="{a3871934-11ef-4259-917c-14b47471362a}">
  <ds:schemaRefs/>
</ds:datastoreItem>
</file>

<file path=customXml/itemProps2.xml><?xml version="1.0" encoding="utf-8"?>
<ds:datastoreItem xmlns:ds="http://schemas.openxmlformats.org/officeDocument/2006/customXml" ds:itemID="{2dc45768-8a66-457c-ba15-891e205dc5ac}">
  <ds:schemaRefs/>
</ds:datastoreItem>
</file>

<file path=customXml/itemProps3.xml><?xml version="1.0" encoding="utf-8"?>
<ds:datastoreItem xmlns:ds="http://schemas.openxmlformats.org/officeDocument/2006/customXml" ds:itemID="{bec0d9cd-2905-4244-9d52-8a48d437c2e9}">
  <ds:schemaRefs/>
</ds:datastoreItem>
</file>

<file path=customXml/itemProps4.xml><?xml version="1.0" encoding="utf-8"?>
<ds:datastoreItem xmlns:ds="http://schemas.openxmlformats.org/officeDocument/2006/customXml" ds:itemID="{daa3fd6d-12fa-4652-b22a-0cea3a1e9300}">
  <ds:schemaRefs/>
</ds:datastoreItem>
</file>

<file path=customXml/itemProps5.xml><?xml version="1.0" encoding="utf-8"?>
<ds:datastoreItem xmlns:ds="http://schemas.openxmlformats.org/officeDocument/2006/customXml" ds:itemID="{0ecdebd6-6703-4d77-92c5-14eff60d23e1}">
  <ds:schemaRefs/>
</ds:datastoreItem>
</file>

<file path=customXml/itemProps6.xml><?xml version="1.0" encoding="utf-8"?>
<ds:datastoreItem xmlns:ds="http://schemas.openxmlformats.org/officeDocument/2006/customXml" ds:itemID="{793438d9-1089-42ea-949c-428c458082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63</Pages>
  <TotalTime>2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2024-03-28T15:52:00Z</dcterms:created>
  <dc:creator>Lenovo</dc:creator>
  <cp:lastModifiedBy>一粒闫</cp:lastModifiedBy>
  <dcterms:modified xsi:type="dcterms:W3CDTF">2024-04-15T03:09:24Z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F42BA99BC83548A188A021616934494C_12</vt:lpwstr>
  </property>
</Properties>
</file>