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  <w:rPr>
          <w:rFonts w:hint="eastAsia" w:eastAsia="方正小标宋_GBK"/>
          <w:lang w:val="en-US" w:eastAsia="zh-CN"/>
        </w:rPr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怀来县人民法院</w:t>
      </w:r>
      <w:r>
        <w:rPr>
          <w:rFonts w:hint="eastAsia" w:ascii="方正小标宋_GBK" w:hAnsi="方正小标宋_GBK" w:eastAsia="方正小标宋_GBK" w:cs="方正小标宋_GBK"/>
          <w:color w:val="000000"/>
          <w:sz w:val="72"/>
          <w:lang w:eastAsia="zh-CN"/>
        </w:rPr>
        <w:t>单位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2024年</w:t>
      </w:r>
      <w:r>
        <w:rPr>
          <w:rFonts w:hint="eastAsia" w:ascii="方正小标宋_GBK" w:hAnsi="方正小标宋_GBK" w:eastAsia="方正小标宋_GBK" w:cs="方正小标宋_GBK"/>
          <w:color w:val="000000"/>
          <w:sz w:val="7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72"/>
        </w:rPr>
        <w:t>预算绩效文本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怀来县人民法院部门编制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怀来县财政局审核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第一部分 </w:t>
      </w:r>
      <w:r>
        <w:rPr>
          <w:rFonts w:hint="eastAsia" w:ascii="方正小标宋_GBK" w:hAnsi="方正小标宋_GBK" w:eastAsia="方正小标宋_GBK" w:cs="方正小标宋_GBK"/>
          <w:color w:val="000000"/>
          <w:sz w:val="30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0"/>
        </w:rPr>
        <w:t>整体绩效目标</w:t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"_Toc_4_4_0000000004" </w:instrText>
      </w:r>
      <w:r>
        <w:fldChar w:fldCharType="separate"/>
      </w:r>
      <w:r>
        <w:t>1.怀财字【2024】7号 返还公用基数绩效目标表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>
      <w:pPr>
        <w:jc w:val="center"/>
        <w:outlineLvl w:val="0"/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lang w:eastAsia="zh-CN"/>
        </w:rPr>
        <w:t>单位</w:t>
      </w:r>
      <w:bookmarkStart w:id="4" w:name="_GoBack"/>
      <w:bookmarkEnd w:id="4"/>
      <w:r>
        <w:rPr>
          <w:rFonts w:ascii="方正小标宋_GBK" w:hAnsi="方正小标宋_GBK" w:eastAsia="方正小标宋_GBK" w:cs="方正小标宋_GBK"/>
          <w:color w:val="000000"/>
          <w:sz w:val="44"/>
        </w:rPr>
        <w:t>整体绩效目标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10" w:after="10"/>
        <w:ind w:firstLine="560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>
      <w:pPr>
        <w:pStyle w:val="5"/>
      </w:pPr>
      <w:r>
        <w:t>以习近平新时代中国特色社会主义思想为指导，深刻把握党的二十大对人民法院工作提出的新任务新要求，找准司法服务“中国式现代化”的结合点、切入点、发力点，认真学习宣传贯彻好党的二十大精神，紧紧围绕“努力让人民群众在每一个司法案件中感受到公平正义”工作目标，忠诚履职、守正创新、踔厉奋发，奋力开创新时代法院工作新局面。结合单位中长期规划和年度工作规划，明确年度主要工作任务：突出政治建设“一条主线”，以更高站位把牢正确政治方向；强化司法为民“三个支点”，以更高标准服务群众司法需求；担当作为做好“五项主业”，以更高水平推进平安怀来建设；坚持从严管理“三项措施”，以更大决心锻造过硬法院队伍。</w:t>
      </w:r>
    </w:p>
    <w:p>
      <w:pPr>
        <w:spacing w:before="10" w:after="10"/>
        <w:ind w:firstLine="560"/>
        <w:outlineLvl w:val="1"/>
        <w:rPr>
          <w:rFonts w:hint="eastAsia" w:ascii="方正黑体_GBK" w:hAnsi="方正黑体_GBK" w:eastAsia="方正黑体_GBK" w:cs="方正黑体_GBK"/>
          <w:color w:val="000000"/>
          <w:sz w:val="28"/>
          <w:lang w:eastAsia="zh-CN"/>
        </w:rPr>
      </w:pPr>
      <w:bookmarkStart w:id="1" w:name="_Toc_2_2_0000000002"/>
    </w:p>
    <w:p>
      <w:pPr>
        <w:spacing w:before="10" w:after="10"/>
        <w:ind w:firstLine="560"/>
        <w:outlineLvl w:val="1"/>
      </w:pPr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>
      <w:pPr>
        <w:pStyle w:val="6"/>
      </w:pPr>
      <w:r>
        <w:t>1</w:t>
      </w:r>
      <w:r>
        <w:rPr>
          <w:rFonts w:hint="eastAsia"/>
          <w:lang w:eastAsia="zh-CN"/>
        </w:rPr>
        <w:t>.</w:t>
      </w:r>
      <w:r>
        <w:t>案件审判</w:t>
      </w:r>
    </w:p>
    <w:p>
      <w:pPr>
        <w:pStyle w:val="6"/>
      </w:pPr>
      <w:r>
        <w:t>绩效目标：审限内完成受理的一审100%。</w:t>
      </w:r>
    </w:p>
    <w:p>
      <w:pPr>
        <w:pStyle w:val="6"/>
      </w:pPr>
      <w:r>
        <w:t>2</w:t>
      </w:r>
      <w:r>
        <w:rPr>
          <w:rFonts w:hint="eastAsia"/>
          <w:lang w:eastAsia="zh-CN"/>
        </w:rPr>
        <w:t>.</w:t>
      </w:r>
      <w:r>
        <w:t>案件判决执行</w:t>
      </w:r>
    </w:p>
    <w:p>
      <w:pPr>
        <w:pStyle w:val="6"/>
      </w:pPr>
      <w:r>
        <w:t>绩效目标：执行案件执结率90%。</w:t>
      </w:r>
    </w:p>
    <w:p>
      <w:pPr>
        <w:pStyle w:val="6"/>
      </w:pPr>
      <w:r>
        <w:t>3</w:t>
      </w:r>
      <w:r>
        <w:rPr>
          <w:rFonts w:hint="eastAsia"/>
          <w:lang w:eastAsia="zh-CN"/>
        </w:rPr>
        <w:t>.</w:t>
      </w:r>
      <w:r>
        <w:t>审判管理</w:t>
      </w:r>
    </w:p>
    <w:p>
      <w:pPr>
        <w:pStyle w:val="6"/>
      </w:pPr>
      <w:r>
        <w:t>绩效指标：通过审判管理使本院审判指标争取达到全省法院中等以上。</w:t>
      </w:r>
    </w:p>
    <w:p>
      <w:pPr>
        <w:pStyle w:val="6"/>
      </w:pPr>
      <w:r>
        <w:t>4</w:t>
      </w:r>
      <w:r>
        <w:rPr>
          <w:rFonts w:hint="eastAsia"/>
          <w:lang w:eastAsia="zh-CN"/>
        </w:rPr>
        <w:t>.</w:t>
      </w:r>
      <w:r>
        <w:t>综合业务管理</w:t>
      </w:r>
    </w:p>
    <w:p>
      <w:pPr>
        <w:pStyle w:val="6"/>
      </w:pPr>
      <w:r>
        <w:t>绩效目标：加强本院队伍建设，加强本院基础设施及信息化建设，加强培训及法院文化建设；总结人审判业务工作经验，建立绩效考核制度，加强对外宣传以及舆论引导，树立法院良好形象。</w:t>
      </w:r>
    </w:p>
    <w:p>
      <w:pPr>
        <w:pStyle w:val="6"/>
      </w:pPr>
      <w:r>
        <w:t>5</w:t>
      </w:r>
      <w:r>
        <w:rPr>
          <w:rFonts w:hint="eastAsia"/>
          <w:lang w:eastAsia="zh-CN"/>
        </w:rPr>
        <w:t>.</w:t>
      </w:r>
      <w:r>
        <w:t>综合事务管理</w:t>
      </w:r>
    </w:p>
    <w:p>
      <w:pPr>
        <w:pStyle w:val="6"/>
      </w:pPr>
      <w:r>
        <w:t>绩效目标：根据中央、省、市委要求和本院党组安排，对全体干警，进行政治理论、时事政治学习培训，提高全体干警的思想政治水平；履行人民法院的监察工作和司法行政工作；承办其它应由人民法院负责的工作。</w:t>
      </w:r>
    </w:p>
    <w:p>
      <w:pPr>
        <w:pStyle w:val="6"/>
      </w:pPr>
    </w:p>
    <w:p>
      <w:pPr>
        <w:spacing w:before="10" w:after="10"/>
        <w:ind w:firstLine="560"/>
        <w:outlineLvl w:val="1"/>
      </w:pPr>
      <w:bookmarkStart w:id="2" w:name="_Toc_2_2_0000000003"/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>
      <w:pPr>
        <w:pStyle w:val="7"/>
      </w:pPr>
      <w:r>
        <w:t>1</w:t>
      </w:r>
      <w:r>
        <w:rPr>
          <w:rFonts w:hint="eastAsia"/>
          <w:lang w:eastAsia="zh-CN"/>
        </w:rPr>
        <w:t>.</w:t>
      </w:r>
      <w:r>
        <w:t>完善制度建设。根据国家、省、市有关财经法规、制度，特别是有关绩效预算管理制度，制定本院有关绩效管理的制度，并组织人员认真学习，使全体人员提高绩效预算认识，为全面提高绩效预算管理水平打下良好基础。</w:t>
      </w:r>
    </w:p>
    <w:p>
      <w:pPr>
        <w:pStyle w:val="7"/>
      </w:pPr>
      <w:r>
        <w:t>2</w:t>
      </w:r>
      <w:r>
        <w:rPr>
          <w:rFonts w:hint="eastAsia"/>
          <w:lang w:eastAsia="zh-CN"/>
        </w:rPr>
        <w:t>.</w:t>
      </w:r>
      <w:r>
        <w:t>加强支出管理。优化支出结构，编细编实绩效预算，积极与业务部门、政府采购部门协调沟通，加快采购进度并支付资金，发挥资金使用效益。</w:t>
      </w:r>
    </w:p>
    <w:p>
      <w:pPr>
        <w:pStyle w:val="7"/>
      </w:pPr>
      <w:r>
        <w:t>3</w:t>
      </w:r>
      <w:r>
        <w:rPr>
          <w:rFonts w:hint="eastAsia"/>
          <w:lang w:eastAsia="zh-CN"/>
        </w:rPr>
        <w:t>.</w:t>
      </w:r>
      <w:r>
        <w:t>加强绩效运行监控。按要求开展绩效运行监控，对已经开始实施的项目确定的工作任务进度进行定期考评，确定任务完成进度并与资金支付进度对比，发现问题及时采取措施，确保绩效目标如期保质实现。</w:t>
      </w:r>
    </w:p>
    <w:p>
      <w:pPr>
        <w:pStyle w:val="7"/>
      </w:pPr>
      <w:r>
        <w:t>4</w:t>
      </w:r>
      <w:r>
        <w:rPr>
          <w:rFonts w:hint="eastAsia"/>
          <w:lang w:eastAsia="zh-CN"/>
        </w:rPr>
        <w:t>.</w:t>
      </w:r>
      <w:r>
        <w:t>做好绩效自评。按要求开展上年度部门预算绩效自评和重点项目绩效评价工作，对评价中发现的问题及时进行分析评价，总结好的经验，整改绩效预算执行中的不足，完善绩效评价制度，提高财政资金使用效益。</w:t>
      </w:r>
    </w:p>
    <w:p>
      <w:pPr>
        <w:pStyle w:val="7"/>
      </w:pPr>
      <w:r>
        <w:t>5</w:t>
      </w:r>
      <w:r>
        <w:rPr>
          <w:rFonts w:hint="eastAsia"/>
          <w:lang w:eastAsia="zh-CN"/>
        </w:rPr>
        <w:t>.</w:t>
      </w:r>
      <w:r>
        <w:t>规范财务、资产管理。首先保障资金安全，这是财务工作的前提，科学合理设置资金的审批、审核、支付等工作岗位环节，保障资金支付安全、高效。同时重视对财务人员培训，提高业务水平，不断提高财务管理水平；建立健全资产采购的申请、审批、采购、使用环节的管理控制，防止资产闲置。健全资产管理制度，做好闲置资产的调剂，发挥资产的最大效益。</w:t>
      </w:r>
    </w:p>
    <w:p>
      <w:pPr>
        <w:pStyle w:val="7"/>
      </w:pPr>
      <w:r>
        <w:t>6</w:t>
      </w:r>
      <w:r>
        <w:rPr>
          <w:rFonts w:hint="eastAsia"/>
          <w:lang w:eastAsia="zh-CN"/>
        </w:rPr>
        <w:t>.</w:t>
      </w:r>
      <w:r>
        <w:t>加强内部监督。立足现有机构和人员分工，对绩效预算执行过程科学、合理、高效设置不同的岗位达到相互配合、相互监督的岗位机制；加强内部监督制度建设，对绩效运行情况、重大支出决策、资产处置及其他重要业务事项的决策和执行进行督导，对会计资料进行内部审计，并配合做好审计、财政监督等外部监督工作，确保财政资金安全有效。</w:t>
      </w:r>
    </w:p>
    <w:p>
      <w:pPr>
        <w:pStyle w:val="7"/>
      </w:pPr>
      <w:r>
        <w:t>7</w:t>
      </w:r>
      <w:r>
        <w:rPr>
          <w:rFonts w:hint="eastAsia"/>
          <w:lang w:eastAsia="zh-CN"/>
        </w:rPr>
        <w:t>.</w:t>
      </w:r>
      <w:r>
        <w:t>加强宣传培训调研等。加强人员培训，提高本部门人员业务素质；加强调研，提出优化财政资金配置、提高资金使用效益的意见；加大宣传力度，强化预算绩效管理意识，促进预算绩效管理水平进一步提升。</w:t>
      </w:r>
    </w:p>
    <w:p>
      <w:pPr>
        <w:pStyle w:val="7"/>
      </w:pPr>
    </w:p>
    <w:p>
      <w:pPr>
        <w:jc w:val="center"/>
        <w:sectPr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3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>1.怀财字【2024】7号 返还公用基数绩效目标表</w:t>
      </w:r>
      <w:bookmarkEnd w:id="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161001怀来县人民法院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13073024P00056810002C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怀财字【2024】7号 返还公用基数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5.60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5.60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保障工作正常开展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1.保障工作正常开展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案件结案率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案件结案率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按实际发生数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经费支出合规性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经费支出合规性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按支出情况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按期完成率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按期完成率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按照实际情况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控制在预算资金内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控制在预算资金内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≤5.6万元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按预算数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法院运行情况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机关正常运转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按照实际情况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保障日常办公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保障日常办公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按照实际情况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机关工作人员满意度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机关工作人员满意度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调查问卷</w:t>
            </w:r>
          </w:p>
        </w:tc>
      </w:tr>
    </w:tbl>
    <w:p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方正楷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黑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fldChar w:fldCharType="begin"/>
    </w:r>
    <w:r>
      <w:instrText xml:space="preserve">PAGE "page number"</w:instrText>
    </w:r>
    <w:r>
      <w:fldChar w:fldCharType="separate"/>
    </w:r>
    <w:r>
      <w:t>4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JiYzI4OTA1MTYxYmE5ODRjMjc4ZjRkNGViNjE4MTEifQ=="/>
  </w:docVars>
  <w:rsids>
    <w:rsidRoot w:val="00921336"/>
    <w:rsid w:val="00176176"/>
    <w:rsid w:val="00921336"/>
    <w:rsid w:val="00D50A1A"/>
    <w:rsid w:val="2B18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插入文本样式-插入总体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6">
    <w:name w:val="插入文本样式-插入职责分类绩效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7">
    <w:name w:val="插入文本样式-插入实现年度发展规划目标的保障措施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8">
    <w:name w:val="单元格样式4"/>
    <w:basedOn w:val="1"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9">
    <w:name w:val="单元格样式5"/>
    <w:basedOn w:val="1"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10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11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TOC 2"/>
    <w:basedOn w:val="1"/>
    <w:qFormat/>
    <w:uiPriority w:val="0"/>
    <w:pPr>
      <w:ind w:left="240"/>
    </w:pPr>
  </w:style>
  <w:style w:type="paragraph" w:customStyle="1" w:styleId="14">
    <w:name w:val="TOC 4"/>
    <w:basedOn w:val="1"/>
    <w:qFormat/>
    <w:uiPriority w:val="0"/>
    <w:pPr>
      <w:ind w:left="720"/>
    </w:pPr>
  </w:style>
  <w:style w:type="paragraph" w:customStyle="1" w:styleId="15">
    <w:name w:val="TOC 1"/>
    <w:basedOn w:val="1"/>
    <w:qFormat/>
    <w:uiPriority w:val="0"/>
    <w:pPr>
      <w:spacing w:before="120"/>
    </w:pPr>
    <w:rPr>
      <w:rFonts w:eastAsia="方正仿宋_GBK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2024-03-26T16:08:07Z</dcterms:created>
  <dcterms:modified xsi:type="dcterms:W3CDTF">2024-03-26T08:08:07Z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2024-03-26T16:08:05Z</dcterms:created>
  <dcterms:modified xsi:type="dcterms:W3CDTF">2024-03-26T08:08:05Z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2024-03-26T16:08:05Z</dcterms:created>
  <dcterms:modified xsi:type="dcterms:W3CDTF">2024-03-26T08:08:05Z</dcterms:modified>
</cp:coreProperties>
</file>

<file path=customXml/itemProps1.xml><?xml version="1.0" encoding="utf-8"?>
<ds:datastoreItem xmlns:ds="http://schemas.openxmlformats.org/officeDocument/2006/customXml" ds:itemID="{FBD42C9A-D4B6-4163-976F-BE358B112651}">
  <ds:schemaRefs/>
</ds:datastoreItem>
</file>

<file path=customXml/itemProps2.xml><?xml version="1.0" encoding="utf-8"?>
<ds:datastoreItem xmlns:ds="http://schemas.openxmlformats.org/officeDocument/2006/customXml" ds:itemID="{64329B88-93AC-4845-8D90-85A11028E988}">
  <ds:schemaRefs/>
</ds:datastoreItem>
</file>

<file path=customXml/itemProps3.xml><?xml version="1.0" encoding="utf-8"?>
<ds:datastoreItem xmlns:ds="http://schemas.openxmlformats.org/officeDocument/2006/customXml" ds:itemID="{F812CA7A-748F-4B50-9D78-E8838D000595}">
  <ds:schemaRefs/>
</ds:datastoreItem>
</file>

<file path=customXml/itemProps4.xml><?xml version="1.0" encoding="utf-8"?>
<ds:datastoreItem xmlns:ds="http://schemas.openxmlformats.org/officeDocument/2006/customXml" ds:itemID="{D859F706-46BE-43FB-BA0F-38CECCC33EA9}">
  <ds:schemaRefs/>
</ds:datastoreItem>
</file>

<file path=customXml/itemProps5.xml><?xml version="1.0" encoding="utf-8"?>
<ds:datastoreItem xmlns:ds="http://schemas.openxmlformats.org/officeDocument/2006/customXml" ds:itemID="{28EC7ECA-BB2F-4483-8AB7-E100237D7F6A}">
  <ds:schemaRefs/>
</ds:datastoreItem>
</file>

<file path=customXml/itemProps6.xml><?xml version="1.0" encoding="utf-8"?>
<ds:datastoreItem xmlns:ds="http://schemas.openxmlformats.org/officeDocument/2006/customXml" ds:itemID="{E5DEE2E9-3873-40F6-87DB-164AD28E4C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369</Words>
  <Characters>2105</Characters>
  <Lines>17</Lines>
  <Paragraphs>4</Paragraphs>
  <TotalTime>1</TotalTime>
  <ScaleCrop>false</ScaleCrop>
  <LinksUpToDate>false</LinksUpToDate>
  <CharactersWithSpaces>2470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2024-03-26T16:08:00Z</dcterms:created>
  <dc:creator>Administrator</dc:creator>
  <cp:lastModifiedBy>Administrator</cp:lastModifiedBy>
  <dcterms:modified xsi:type="dcterms:W3CDTF">2024-04-22T03:15:47Z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E76938F7E23E4B98B82AC6B184A12D23_12</vt:lpwstr>
  </property>
</Properties>
</file>