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202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  <w:t>4</w:t>
      </w:r>
      <w:bookmarkStart w:id="0" w:name="_GoBack"/>
      <w:bookmarkEnd w:id="0"/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年部门预算信息公开目录</w:t>
      </w:r>
    </w:p>
    <w:p>
      <w:pPr>
        <w:ind w:firstLine="600" w:firstLineChars="200"/>
        <w:rPr>
          <w:rFonts w:ascii="黑体" w:hAnsi="黑体" w:eastAsia="黑体" w:cs="仿宋_GB2312"/>
          <w:sz w:val="30"/>
          <w:szCs w:val="30"/>
        </w:rPr>
      </w:pP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一、部门预算公开表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部门预算收入总表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部门预算支出总表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部门预算一般公共预算财政拨款基本支出表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部门预算政府性基金预算财政拨款支出表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部门预算国有资本经营预算财政拨款支出表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部门预算财政拨款“三公”经费支出表</w:t>
      </w: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二、部门预算信息公开情况说明</w:t>
      </w:r>
    </w:p>
    <w:p>
      <w:pPr>
        <w:numPr>
          <w:ilvl w:val="0"/>
          <w:numId w:val="2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部门职责及机构设置情况</w:t>
      </w:r>
    </w:p>
    <w:p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2、部门预算安排的总体情况</w:t>
      </w: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5、预算绩效信息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7、国有资产信息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9、其他需要说明的事项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-方正超大字符集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RkNzBiYjI0MzRiZWU4NDhlYzlkYmI3ZWIyNTQxNmEifQ=="/>
  </w:docVars>
  <w:rsids>
    <w:rsidRoot w:val="00A5774A"/>
    <w:rsid w:val="00136145"/>
    <w:rsid w:val="001A6347"/>
    <w:rsid w:val="004164A3"/>
    <w:rsid w:val="00432E7D"/>
    <w:rsid w:val="006159EF"/>
    <w:rsid w:val="008369E2"/>
    <w:rsid w:val="00A5774A"/>
    <w:rsid w:val="00B5719F"/>
    <w:rsid w:val="00D94858"/>
    <w:rsid w:val="08C6088E"/>
    <w:rsid w:val="6778200E"/>
    <w:rsid w:val="7B18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3BD92-691B-4A02-84A9-B5C280ED84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263</Words>
  <Characters>266</Characters>
  <Lines>2</Lines>
  <Paragraphs>1</Paragraphs>
  <TotalTime>21</TotalTime>
  <ScaleCrop>false</ScaleCrop>
  <LinksUpToDate>false</LinksUpToDate>
  <CharactersWithSpaces>270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2019-01-15T00:49:00Z</dcterms:created>
  <dc:creator>user</dc:creator>
  <cp:lastModifiedBy>❤️</cp:lastModifiedBy>
  <dcterms:modified xsi:type="dcterms:W3CDTF">2024-04-17T08:50:12Z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6CC91231A1B146278986B2E07BA16D5E_12</vt:lpwstr>
  </property>
</Properties>
</file>