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i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default" w:ascii="Times New Roman" w:hAnsi="Times New Roman" w:eastAsia="方正小标宋简体" w:cs="Times New Roman"/>
          <w:b w:val="0"/>
          <w:bCs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  <w:t>怀来县桑园镇</w:t>
      </w:r>
      <w:r>
        <w:rPr>
          <w:rFonts w:hint="default" w:ascii="Times New Roman" w:hAnsi="Times New Roman" w:eastAsia="方正小标宋简体" w:cs="Times New Roman"/>
          <w:b w:val="0"/>
          <w:bCs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2021年</w:t>
      </w:r>
      <w:r>
        <w:rPr>
          <w:rFonts w:hint="default" w:ascii="Times New Roman" w:hAnsi="Times New Roman" w:eastAsia="方正小标宋简体" w:cs="Times New Roman"/>
          <w:b w:val="0"/>
          <w:bCs/>
          <w:i w:val="0"/>
          <w:caps w:val="0"/>
          <w:color w:val="333333"/>
          <w:spacing w:val="0"/>
          <w:sz w:val="44"/>
          <w:szCs w:val="44"/>
          <w:shd w:val="clear" w:fill="FFFFFF"/>
        </w:rPr>
        <w:t>政府信息公开工作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i w:val="0"/>
          <w:caps w:val="0"/>
          <w:color w:val="333333"/>
          <w:spacing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/>
          <w:i w:val="0"/>
          <w:caps w:val="0"/>
          <w:color w:val="333333"/>
          <w:spacing w:val="0"/>
          <w:sz w:val="44"/>
          <w:szCs w:val="44"/>
          <w:shd w:val="clear" w:fill="FFFFFF"/>
        </w:rPr>
        <w:t>年度报告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default" w:ascii="Times New Roman" w:hAnsi="Times New Roman" w:eastAsia="宋体" w:cs="Times New Roman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leftChars="0" w:right="0" w:rightChars="0"/>
        <w:jc w:val="both"/>
        <w:rPr>
          <w:rFonts w:hint="default" w:ascii="Times New Roman" w:hAnsi="Times New Roman" w:eastAsia="黑体" w:cs="Times New Roman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黑体" w:cs="Times New Roman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一、</w:t>
      </w:r>
      <w:r>
        <w:rPr>
          <w:rFonts w:hint="default" w:ascii="Times New Roman" w:hAnsi="Times New Roman" w:eastAsia="黑体" w:cs="Times New Roman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总体情况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桑园镇人民政府信息公开严格按照《中华人民共和国政府信息公开条例》要求，坚持依法行政，不断增强政府工作透明度，切实保障了人民群众的知情权、参与权和监督权。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宋体" w:cs="Times New Roman"/>
          <w:b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2021年，桑园镇严格按照怀来县政府关于政府信息公开工作的安排，镇领导对政务信息公开进行了周密的工作安排，保障信息公开工作的有效开展，截止2021年12月31日，我镇</w:t>
      </w:r>
      <w:r>
        <w:rPr>
          <w:rFonts w:hint="eastAsia" w:ascii="Times New Roman" w:hAnsi="Times New Roman" w:eastAsia="仿宋_GB2312" w:cs="Times New Roman"/>
          <w:i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累计公开发布信息15条，其中行政审批类事项9条、行政执法类事项4条、财务类事项2条</w:t>
      </w:r>
      <w:r>
        <w:rPr>
          <w:rFonts w:hint="default" w:ascii="Times New Roman" w:hAnsi="Times New Roman" w:eastAsia="仿宋_GB2312" w:cs="Times New Roman"/>
          <w:i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leftChars="0" w:right="0" w:rightChars="0"/>
        <w:jc w:val="both"/>
        <w:rPr>
          <w:rFonts w:hint="default" w:ascii="Times New Roman" w:hAnsi="Times New Roman" w:eastAsia="黑体" w:cs="Times New Roman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黑体" w:cs="Times New Roman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二、主动公开政府信息情况</w:t>
      </w:r>
    </w:p>
    <w:tbl>
      <w:tblPr>
        <w:tblStyle w:val="4"/>
        <w:tblW w:w="9740" w:type="dxa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35"/>
        <w:gridCol w:w="2435"/>
        <w:gridCol w:w="2435"/>
        <w:gridCol w:w="243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第二十条第（一）项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信息内容</w:t>
            </w: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本年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制发件数</w:t>
            </w: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本年废止件数</w:t>
            </w: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现行有效件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数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规章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行政规范性文件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第二十条第（五）项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本年处理决定数量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行政许可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296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第二十条第（六）项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本年处理决定数量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行政处罚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>16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行政强制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第二十条第（八）项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本年收费金额（单位：万元）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行政事业性收费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0</w:t>
            </w:r>
          </w:p>
        </w:tc>
      </w:tr>
    </w:tbl>
    <w:p>
      <w:pPr>
        <w:pStyle w:val="3"/>
        <w:shd w:val="clear" w:color="auto" w:fill="FFFFFF"/>
        <w:spacing w:before="0" w:beforeAutospacing="0" w:after="0" w:afterAutospacing="0"/>
        <w:ind w:left="0" w:right="0" w:firstLine="480"/>
        <w:rPr>
          <w:rFonts w:hint="default" w:ascii="黑体" w:hAnsi="黑体" w:eastAsia="黑体" w:cs="黑体"/>
          <w:b w:val="0"/>
          <w:bCs w:val="0"/>
          <w:color w:val="333333"/>
          <w:spacing w:val="0"/>
          <w:sz w:val="32"/>
          <w:szCs w:val="32"/>
        </w:rPr>
      </w:pPr>
      <w:r>
        <w:rPr>
          <w:rFonts w:hint="default" w:ascii="黑体" w:hAnsi="黑体" w:eastAsia="黑体" w:cs="黑体"/>
          <w:b w:val="0"/>
          <w:bCs w:val="0"/>
          <w:color w:val="333333"/>
          <w:spacing w:val="0"/>
          <w:sz w:val="32"/>
          <w:szCs w:val="32"/>
        </w:rPr>
        <w:t>三、收到和处理政府信息公开申请情况</w:t>
      </w:r>
    </w:p>
    <w:tbl>
      <w:tblPr>
        <w:tblStyle w:val="4"/>
        <w:tblW w:w="974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53"/>
        <w:gridCol w:w="921"/>
        <w:gridCol w:w="3272"/>
        <w:gridCol w:w="686"/>
        <w:gridCol w:w="686"/>
        <w:gridCol w:w="686"/>
        <w:gridCol w:w="686"/>
        <w:gridCol w:w="686"/>
        <w:gridCol w:w="686"/>
        <w:gridCol w:w="6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947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楷体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楷体" w:cs="Times New Roman"/>
                <w:sz w:val="20"/>
                <w:szCs w:val="20"/>
              </w:rPr>
              <w:t>（本列数据的勾稽关系为：第一项加第二项之和，等于第三项加第四项之和）</w:t>
            </w:r>
          </w:p>
        </w:tc>
        <w:tc>
          <w:tcPr>
            <w:tcW w:w="4802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申请人情况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947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86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自然人</w:t>
            </w:r>
          </w:p>
        </w:tc>
        <w:tc>
          <w:tcPr>
            <w:tcW w:w="343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法人或其他组织</w:t>
            </w:r>
          </w:p>
        </w:tc>
        <w:tc>
          <w:tcPr>
            <w:tcW w:w="686" w:type="dxa"/>
            <w:vMerge w:val="restart"/>
            <w:tcBorders>
              <w:top w:val="single" w:color="auto" w:sz="8" w:space="0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总计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947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86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商业</w:t>
            </w: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企业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科研</w:t>
            </w: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机构</w:t>
            </w:r>
          </w:p>
        </w:tc>
        <w:tc>
          <w:tcPr>
            <w:tcW w:w="6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社会公益组织</w:t>
            </w:r>
          </w:p>
        </w:tc>
        <w:tc>
          <w:tcPr>
            <w:tcW w:w="6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法律服务机构</w:t>
            </w:r>
          </w:p>
        </w:tc>
        <w:tc>
          <w:tcPr>
            <w:tcW w:w="6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其他</w:t>
            </w:r>
          </w:p>
        </w:tc>
        <w:tc>
          <w:tcPr>
            <w:tcW w:w="686" w:type="dxa"/>
            <w:vMerge w:val="continue"/>
            <w:tcBorders>
              <w:top w:val="single" w:color="auto" w:sz="8" w:space="0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94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一、本年新收政府信息公开申请数量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94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二、上年结转政府信息公开申请数量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restart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三、本年度办理结果</w:t>
            </w:r>
          </w:p>
        </w:tc>
        <w:tc>
          <w:tcPr>
            <w:tcW w:w="419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（一）予以公开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19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（二）部分公开</w:t>
            </w:r>
            <w:r>
              <w:rPr>
                <w:rFonts w:hint="default" w:ascii="Times New Roman" w:hAnsi="Times New Roman" w:eastAsia="楷体" w:cs="Times New Roman"/>
                <w:sz w:val="20"/>
                <w:szCs w:val="20"/>
              </w:rPr>
              <w:t>（区分处理的，只计这一情形，不计其他情形）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21" w:type="dxa"/>
            <w:vMerge w:val="restart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（三）不予公开</w:t>
            </w: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1.属于国家秘密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2.其他法律行政法规禁止公开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3.危及“三安全一稳定”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4.保护第三方合法权益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5.属于三类内部事务信息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6.属于四类过程性信息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7.属于行政执法案卷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8.属于行政查询事项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21" w:type="dxa"/>
            <w:vMerge w:val="restart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（四）无法提供</w:t>
            </w: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1.本机关不掌握相关政府信息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2.没有现成信息需要另行制作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3.补正后申请内容仍不明确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21" w:type="dxa"/>
            <w:vMerge w:val="restart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（五）不予处理</w:t>
            </w: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1.信访举报投诉类申请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2.重复申请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3.要求提供公开出版物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4.无正当理由大量反复申请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9" w:hRule="atLeast"/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272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5.要求行政机关确认或重新出具已获取信息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21" w:type="dxa"/>
            <w:vMerge w:val="restart"/>
            <w:tcBorders>
              <w:top w:val="inset" w:color="auto" w:sz="8" w:space="0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（六）其他处理</w:t>
            </w: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1.申请人无正当理由逾期不补正、行政机关不再处理其政府信息公开申请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21" w:type="dxa"/>
            <w:vMerge w:val="continue"/>
            <w:tcBorders>
              <w:top w:val="inset" w:color="auto" w:sz="8" w:space="0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2.申请人逾期未按收费通知要求缴纳费用、行政机关不再处理其政府信息公开申请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21" w:type="dxa"/>
            <w:vMerge w:val="continue"/>
            <w:tcBorders>
              <w:top w:val="inset" w:color="auto" w:sz="8" w:space="0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3.其他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19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（七）总计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94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四、结转下年度继续办理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>
      <w:pPr>
        <w:pStyle w:val="3"/>
        <w:shd w:val="clear" w:color="auto" w:fill="FFFFFF"/>
        <w:spacing w:before="0" w:beforeAutospacing="0" w:after="0" w:afterAutospacing="0"/>
        <w:ind w:left="0" w:right="0" w:firstLine="480"/>
        <w:rPr>
          <w:rFonts w:hint="default" w:ascii="黑体" w:hAnsi="黑体" w:eastAsia="黑体" w:cs="黑体"/>
          <w:b w:val="0"/>
          <w:bCs w:val="0"/>
          <w:color w:val="333333"/>
          <w:spacing w:val="0"/>
          <w:sz w:val="32"/>
          <w:szCs w:val="32"/>
        </w:rPr>
      </w:pPr>
      <w:r>
        <w:rPr>
          <w:rFonts w:hint="default" w:ascii="黑体" w:hAnsi="黑体" w:eastAsia="黑体" w:cs="黑体"/>
          <w:b w:val="0"/>
          <w:bCs w:val="0"/>
          <w:color w:val="333333"/>
          <w:spacing w:val="0"/>
          <w:sz w:val="32"/>
          <w:szCs w:val="32"/>
        </w:rPr>
        <w:t>四、政府信息公开行政复议、行政诉讼情况</w:t>
      </w:r>
    </w:p>
    <w:tbl>
      <w:tblPr>
        <w:tblStyle w:val="4"/>
        <w:tblW w:w="974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9"/>
        <w:gridCol w:w="649"/>
        <w:gridCol w:w="649"/>
        <w:gridCol w:w="649"/>
        <w:gridCol w:w="649"/>
        <w:gridCol w:w="649"/>
        <w:gridCol w:w="649"/>
        <w:gridCol w:w="650"/>
        <w:gridCol w:w="650"/>
        <w:gridCol w:w="650"/>
        <w:gridCol w:w="651"/>
        <w:gridCol w:w="651"/>
        <w:gridCol w:w="651"/>
        <w:gridCol w:w="651"/>
        <w:gridCol w:w="6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324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行政复议</w:t>
            </w:r>
          </w:p>
        </w:tc>
        <w:tc>
          <w:tcPr>
            <w:tcW w:w="6498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行政诉讼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64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结果维持</w:t>
            </w:r>
          </w:p>
        </w:tc>
        <w:tc>
          <w:tcPr>
            <w:tcW w:w="64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结果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纠正</w:t>
            </w:r>
          </w:p>
        </w:tc>
        <w:tc>
          <w:tcPr>
            <w:tcW w:w="64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其他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结果</w:t>
            </w:r>
          </w:p>
        </w:tc>
        <w:tc>
          <w:tcPr>
            <w:tcW w:w="64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尚未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审结</w:t>
            </w:r>
          </w:p>
        </w:tc>
        <w:tc>
          <w:tcPr>
            <w:tcW w:w="64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总计</w:t>
            </w:r>
          </w:p>
        </w:tc>
        <w:tc>
          <w:tcPr>
            <w:tcW w:w="3248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未经复议直接起诉</w:t>
            </w:r>
          </w:p>
        </w:tc>
        <w:tc>
          <w:tcPr>
            <w:tcW w:w="325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复议后起诉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结果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维持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结果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纠正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其他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结果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尚未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审结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总计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结果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维持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结果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纠正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其他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结果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尚未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审结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总计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2" w:hRule="atLeast"/>
          <w:jc w:val="center"/>
        </w:trPr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179" w:afterAutospacing="0"/>
              <w:ind w:left="0" w:right="0"/>
              <w:jc w:val="center"/>
              <w:rPr>
                <w:rFonts w:hint="default" w:ascii="Times New Roman" w:hAnsi="Times New Roman" w:eastAsia="黑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0"/>
                <w:szCs w:val="20"/>
                <w:lang w:val="en-US" w:eastAsia="zh-CN"/>
              </w:rPr>
              <w:t>0</w:t>
            </w:r>
          </w:p>
        </w:tc>
      </w:tr>
    </w:tbl>
    <w:p>
      <w:pPr>
        <w:pStyle w:val="3"/>
        <w:shd w:val="clear" w:color="auto" w:fill="FFFFFF"/>
        <w:spacing w:before="0" w:beforeAutospacing="0" w:after="0" w:afterAutospacing="0"/>
        <w:ind w:left="0" w:right="0" w:firstLine="480"/>
        <w:rPr>
          <w:rFonts w:hint="eastAsia" w:ascii="黑体" w:hAnsi="黑体" w:eastAsia="黑体" w:cs="黑体"/>
          <w:b w:val="0"/>
          <w:bCs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333333"/>
          <w:spacing w:val="0"/>
          <w:sz w:val="32"/>
          <w:szCs w:val="32"/>
        </w:rPr>
        <w:t>五、存在的主要问题及改进情况</w:t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  <w:lang w:val="en-US" w:eastAsia="zh-CN" w:bidi="ar-SA"/>
        </w:rPr>
        <w:t>2021年，桑园镇镇政务信息公开工作取得了一定的成绩，但仍存在信息公开及时性不足、公开内容需进一步完善等问题。2022年我镇主要从以下方面作进一步改进和加强：</w:t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  <w:lang w:val="en-US" w:eastAsia="zh-CN" w:bidi="ar-SA"/>
        </w:rPr>
        <w:t>（一）加大公开力度，广泛收集群众关注度高、反映强烈的信息，不断拓展和丰富政府信息公开内容，进一步完善相关制度和程序，不断提高政府信息公开工作水平。</w:t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  <w:lang w:val="en-US" w:eastAsia="zh-CN" w:bidi="ar-SA"/>
        </w:rPr>
        <w:t>（二）及时有效地收集、报送信息，充实信息来源，丰富信息内容，确保应公开信息全部及时、准确地公开，不断增强信息量并提高时效性，增强公开效果。</w:t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color w:val="333333"/>
          <w:spacing w:val="0"/>
          <w:w w:val="100"/>
          <w:kern w:val="0"/>
          <w:sz w:val="32"/>
          <w:szCs w:val="32"/>
          <w:lang w:val="en-US" w:eastAsia="zh-CN" w:bidi="ar-SA"/>
        </w:rPr>
        <w:t>（三）将思想政治素质好，工作能力强的人员充实到政府信息公开队伍中来，并加强对现有从事政府信息公开工作人员的学习培训，提高他们的素质，保证工作落到实处。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default" w:ascii="Times New Roman" w:hAnsi="Times New Roman" w:eastAsia="宋体" w:cs="Times New Roman"/>
          <w:b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宋体" w:cs="Times New Roman"/>
          <w:b/>
          <w:i w:val="0"/>
          <w:caps w:val="0"/>
          <w:color w:val="333333"/>
          <w:spacing w:val="0"/>
          <w:sz w:val="32"/>
          <w:szCs w:val="32"/>
          <w:shd w:val="clear" w:fill="FFFFFF"/>
        </w:rPr>
        <w:t>六、其他需要报告的事项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Times New Roman" w:hAnsi="Times New Roman" w:eastAsia="宋体" w:cs="Times New Roman"/>
          <w:b w:val="0"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无。</w:t>
      </w:r>
    </w:p>
    <w:p>
      <w:pPr>
        <w:rPr>
          <w:rFonts w:hint="default" w:ascii="Times New Roman" w:hAnsi="Times New Roman" w:cs="Times New Roman"/>
        </w:rPr>
      </w:pPr>
      <w:bookmarkStart w:id="0" w:name="_GoBack"/>
      <w:bookmarkEnd w:id="0"/>
    </w:p>
    <w:sectPr>
      <w:pgSz w:w="11906" w:h="16838"/>
      <w:pgMar w:top="1440" w:right="1474" w:bottom="1440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884FB1"/>
    <w:rsid w:val="05C812B2"/>
    <w:rsid w:val="095B73D6"/>
    <w:rsid w:val="228C34A3"/>
    <w:rsid w:val="2A884FB1"/>
    <w:rsid w:val="4B2514EB"/>
    <w:rsid w:val="4B6B1AC4"/>
    <w:rsid w:val="59BB0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3">
    <w:name w:val="Normal (Web)"/>
    <w:basedOn w:val="1"/>
    <w:next w:val="2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HtmlNormal"/>
    <w:basedOn w:val="1"/>
    <w:qFormat/>
    <w:uiPriority w:val="0"/>
    <w:pPr>
      <w:widowControl/>
      <w:spacing w:before="100" w:beforeAutospacing="1" w:after="100" w:afterAutospacing="1"/>
      <w:jc w:val="left"/>
      <w:textAlignment w:val="baseline"/>
    </w:pPr>
    <w:rPr>
      <w:rFonts w:ascii="宋体" w:hAnsi="宋体" w:eastAsia="宋体"/>
      <w:kern w:val="0"/>
      <w:sz w:val="24"/>
      <w:szCs w:val="24"/>
      <w:lang w:val="en-US" w:eastAsia="zh-CN" w:bidi="ar-SA"/>
    </w:rPr>
  </w:style>
  <w:style w:type="character" w:customStyle="1" w:styleId="7">
    <w:name w:val="NormalCharacter"/>
    <w:link w:val="1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2021-01-28T09:27:00Z</dcterms:created>
  <dc:creator>1112-01</dc:creator>
  <cp:lastModifiedBy>Administrator</cp:lastModifiedBy>
  <cp:lastPrinted>2021-02-05T08:09:00Z</cp:lastPrinted>
  <dcterms:modified xsi:type="dcterms:W3CDTF">2022-02-14T03:11:38Z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E46D052B5EB1485A90FD78B9C015153F</vt:lpwstr>
  </property>
</Properties>
</file>