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/>
        </w:rPr>
        <w:t>小南辛堡镇人民政府</w:t>
      </w:r>
    </w:p>
    <w:p>
      <w:pPr>
        <w:widowControl/>
        <w:shd w:val="clear" w:color="auto" w:fill="FFFFFF"/>
        <w:jc w:val="center"/>
        <w:rPr>
          <w:rFonts w:hint="eastAsia" w:ascii="宋体" w:hAnsi="宋体" w:eastAsia="宋体" w:cs="宋体"/>
          <w:color w:val="333333"/>
          <w:kern w:val="0"/>
          <w:sz w:val="24"/>
          <w:lang w:eastAsia="zh-CN"/>
        </w:rPr>
      </w:pP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  <w:lang w:val="en-US" w:eastAsia="zh-CN"/>
        </w:rPr>
        <w:t>2021年度</w:t>
      </w:r>
      <w:r>
        <w:rPr>
          <w:rFonts w:hint="eastAsia" w:ascii="宋体" w:hAnsi="宋体" w:cs="宋体"/>
          <w:b/>
          <w:bCs/>
          <w:color w:val="333333"/>
          <w:kern w:val="0"/>
          <w:sz w:val="36"/>
          <w:szCs w:val="36"/>
        </w:rPr>
        <w:t>政府信息公开工作年度报告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一、总体情况</w:t>
      </w:r>
    </w:p>
    <w:p>
      <w:pPr>
        <w:widowControl/>
        <w:shd w:val="clear" w:color="auto" w:fill="FFFFFF"/>
        <w:spacing w:line="500" w:lineRule="exact"/>
        <w:ind w:firstLine="482"/>
        <w:rPr>
          <w:rFonts w:hint="eastAsia" w:ascii="仿宋_GB2312" w:hAnsi="宋体" w:eastAsia="仿宋_GB2312" w:cs="宋体"/>
          <w:bCs/>
          <w:color w:val="333333"/>
          <w:kern w:val="0"/>
          <w:sz w:val="24"/>
        </w:rPr>
      </w:pP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eastAsia="zh-CN"/>
        </w:rPr>
        <w:t>202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</w:rPr>
        <w:t>年，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val="en-US" w:eastAsia="zh-CN"/>
        </w:rPr>
        <w:t>小南辛堡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</w:rPr>
        <w:t>镇认真贯彻《中华人民共和国政府信息公开条例》及我县关于政府信息与政务公开工作的有关决策部署和要求，按照公开、公正、规范、高效、便民、廉政、勤政的基本要求，及时、准确地公开政府信息。根据《中华人民共和国政府信息公开条例》和有关政府信息公开的要求，现将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val="en-US" w:eastAsia="zh-CN"/>
        </w:rPr>
        <w:t>小南辛堡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</w:rPr>
        <w:t>镇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eastAsia="zh-CN"/>
        </w:rPr>
        <w:t>202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</w:rPr>
        <w:t>年度政府信息公开情况报告如下（报告统计数据时段为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eastAsia="zh-CN"/>
        </w:rPr>
        <w:t>202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</w:rPr>
        <w:t>年1月1日至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eastAsia="zh-CN"/>
        </w:rPr>
        <w:t>202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val="en-US" w:eastAsia="zh-CN"/>
        </w:rPr>
        <w:t>1</w:t>
      </w:r>
      <w:r>
        <w:rPr>
          <w:rFonts w:hint="eastAsia" w:ascii="仿宋_GB2312" w:hAnsi="宋体" w:eastAsia="仿宋_GB2312" w:cs="宋体"/>
          <w:bCs/>
          <w:color w:val="333333"/>
          <w:kern w:val="0"/>
          <w:sz w:val="24"/>
        </w:rPr>
        <w:t>年12月31日）：</w:t>
      </w:r>
    </w:p>
    <w:p>
      <w:pPr>
        <w:widowControl/>
        <w:shd w:val="clear" w:color="auto" w:fill="FFFFFF"/>
        <w:spacing w:line="500" w:lineRule="exact"/>
        <w:ind w:firstLine="482"/>
        <w:rPr>
          <w:rFonts w:hint="eastAsia" w:ascii="楷体_GB2312" w:hAnsi="宋体" w:eastAsia="楷体_GB2312" w:cs="宋体"/>
          <w:bCs/>
          <w:color w:val="333333"/>
          <w:kern w:val="0"/>
          <w:sz w:val="24"/>
        </w:rPr>
      </w:pPr>
      <w:r>
        <w:rPr>
          <w:rFonts w:hint="eastAsia" w:ascii="楷体_GB2312" w:hAnsi="宋体" w:eastAsia="楷体_GB2312" w:cs="宋体"/>
          <w:bCs/>
          <w:color w:val="333333"/>
          <w:kern w:val="0"/>
          <w:sz w:val="24"/>
        </w:rPr>
        <w:t>（一）完善工作制度</w:t>
      </w:r>
    </w:p>
    <w:p>
      <w:pPr>
        <w:widowControl/>
        <w:shd w:val="clear" w:color="auto" w:fill="FFFFFF"/>
        <w:spacing w:line="500" w:lineRule="exact"/>
        <w:ind w:firstLine="482"/>
        <w:rPr>
          <w:rFonts w:ascii="仿宋_GB2312" w:hAnsi="宋体" w:eastAsia="仿宋_GB2312" w:cs="宋体"/>
          <w:bCs/>
          <w:color w:val="333333"/>
          <w:kern w:val="0"/>
          <w:sz w:val="24"/>
        </w:rPr>
      </w:pPr>
      <w:r>
        <w:rPr>
          <w:rFonts w:hint="eastAsia" w:ascii="仿宋_GB2312" w:hAnsi="宋体" w:eastAsia="仿宋_GB2312" w:cs="宋体"/>
          <w:bCs/>
          <w:color w:val="333333"/>
          <w:kern w:val="0"/>
          <w:sz w:val="24"/>
        </w:rPr>
        <w:t>注重抓好政务公开工作机制的落实，推进政务公开规范化建设，对政务公开、政府信息公开工作，从信息公开内容、范围和渠道，信息公开工作的考核评议、监督检查、责任追究、公开反馈等方面进行规范。</w:t>
      </w:r>
    </w:p>
    <w:p>
      <w:pPr>
        <w:widowControl/>
        <w:shd w:val="clear" w:color="auto" w:fill="FFFFFF"/>
        <w:spacing w:line="500" w:lineRule="exact"/>
        <w:ind w:firstLine="482"/>
        <w:rPr>
          <w:rFonts w:hint="eastAsia" w:ascii="楷体_GB2312" w:hAnsi="宋体" w:eastAsia="楷体_GB2312" w:cs="宋体"/>
          <w:bCs/>
          <w:color w:val="333333"/>
          <w:kern w:val="0"/>
          <w:sz w:val="24"/>
        </w:rPr>
      </w:pPr>
      <w:r>
        <w:rPr>
          <w:rFonts w:hint="eastAsia" w:ascii="楷体_GB2312" w:hAnsi="宋体" w:eastAsia="楷体_GB2312" w:cs="宋体"/>
          <w:bCs/>
          <w:color w:val="333333"/>
          <w:kern w:val="0"/>
          <w:sz w:val="24"/>
        </w:rPr>
        <w:t>（二）</w:t>
      </w:r>
      <w:r>
        <w:rPr>
          <w:rFonts w:ascii="楷体_GB2312" w:hAnsi="宋体" w:eastAsia="楷体_GB2312" w:cs="宋体"/>
          <w:bCs/>
          <w:color w:val="333333"/>
          <w:kern w:val="0"/>
          <w:sz w:val="24"/>
        </w:rPr>
        <w:t>加强日常管理</w:t>
      </w:r>
    </w:p>
    <w:p>
      <w:pPr>
        <w:widowControl/>
        <w:shd w:val="clear" w:color="auto" w:fill="FFFFFF"/>
        <w:spacing w:line="500" w:lineRule="exact"/>
        <w:ind w:firstLine="482"/>
        <w:rPr>
          <w:rFonts w:hint="eastAsia" w:ascii="仿宋_GB2312" w:hAnsi="宋体" w:eastAsia="仿宋_GB2312" w:cs="宋体"/>
          <w:bCs/>
          <w:color w:val="333333"/>
          <w:kern w:val="0"/>
          <w:sz w:val="24"/>
        </w:rPr>
      </w:pPr>
      <w:r>
        <w:rPr>
          <w:rFonts w:ascii="仿宋_GB2312" w:hAnsi="宋体" w:eastAsia="仿宋_GB2312" w:cs="宋体"/>
          <w:bCs/>
          <w:color w:val="333333"/>
          <w:kern w:val="0"/>
          <w:sz w:val="24"/>
        </w:rPr>
        <w:t>突出重点，讲求实效，创新形式，注重强化信息公开法规学习和内容审核，使信息工作人员明确了解政务公开的主体和原则、范围和内容、方式和程序、监督和保障等，增强了贯彻落实的自觉性、主动性，政务公开工作水平不断提高。</w:t>
      </w:r>
    </w:p>
    <w:p>
      <w:pPr>
        <w:widowControl/>
        <w:shd w:val="clear" w:color="auto" w:fill="FFFFFF"/>
        <w:spacing w:line="500" w:lineRule="exact"/>
        <w:ind w:firstLine="482"/>
        <w:rPr>
          <w:rFonts w:hint="eastAsia" w:ascii="楷体_GB2312" w:hAnsi="宋体" w:eastAsia="楷体_GB2312" w:cs="宋体"/>
          <w:bCs/>
          <w:color w:val="333333"/>
          <w:kern w:val="0"/>
          <w:sz w:val="24"/>
        </w:rPr>
      </w:pPr>
      <w:r>
        <w:rPr>
          <w:rFonts w:hint="eastAsia" w:ascii="楷体_GB2312" w:hAnsi="宋体" w:eastAsia="楷体_GB2312" w:cs="宋体"/>
          <w:bCs/>
          <w:color w:val="333333"/>
          <w:kern w:val="0"/>
          <w:sz w:val="24"/>
        </w:rPr>
        <w:t>(三)</w:t>
      </w:r>
      <w:r>
        <w:rPr>
          <w:rFonts w:ascii="楷体_GB2312" w:hAnsi="宋体" w:eastAsia="楷体_GB2312" w:cs="宋体"/>
          <w:bCs/>
          <w:color w:val="333333"/>
          <w:kern w:val="0"/>
          <w:sz w:val="24"/>
        </w:rPr>
        <w:t>扎实抓好主动公开</w:t>
      </w:r>
      <w:r>
        <w:rPr>
          <w:rFonts w:hint="eastAsia" w:ascii="楷体_GB2312" w:hAnsi="宋体" w:eastAsia="楷体_GB2312" w:cs="宋体"/>
          <w:bCs/>
          <w:color w:val="333333"/>
          <w:kern w:val="0"/>
          <w:sz w:val="24"/>
        </w:rPr>
        <w:t>信息</w:t>
      </w:r>
    </w:p>
    <w:p>
      <w:pPr>
        <w:widowControl/>
        <w:shd w:val="clear" w:color="auto" w:fill="FFFFFF"/>
        <w:spacing w:line="500" w:lineRule="exact"/>
        <w:ind w:firstLine="482"/>
        <w:rPr>
          <w:rFonts w:ascii="仿宋_GB2312" w:hAnsi="宋体" w:eastAsia="仿宋_GB2312" w:cs="宋体"/>
          <w:bCs/>
          <w:color w:val="333333"/>
          <w:kern w:val="0"/>
          <w:sz w:val="24"/>
        </w:rPr>
      </w:pPr>
      <w:r>
        <w:rPr>
          <w:rFonts w:ascii="仿宋_GB2312" w:hAnsi="宋体" w:eastAsia="仿宋_GB2312" w:cs="宋体"/>
          <w:bCs/>
          <w:color w:val="333333"/>
          <w:kern w:val="0"/>
          <w:sz w:val="24"/>
        </w:rPr>
        <w:t>认真贯彻落实《中华人民共和国政府信息公开条例》，将政府信息公开工作纳入正常工作安排部署，促进政府信息公开工作常态化、制度化、规范化。进一步梳理政府信息公开事项，认真编制镇政府信息公开基本目录。定期更新政府信息公开网和部门网站上的信息公开目录和指南，充实公开内容，充分保障人民群众的知情权。主动、及时、客观公布重大突发事件的进展、政府应急举措、公众防范措施以及调查处理结果，牢牢把握舆情主导权。</w:t>
      </w:r>
    </w:p>
    <w:p>
      <w:pPr>
        <w:pStyle w:val="3"/>
        <w:shd w:val="clear" w:color="auto" w:fill="FFFFFF"/>
        <w:spacing w:before="0" w:beforeAutospacing="0" w:after="0" w:afterAutospacing="0"/>
        <w:ind w:right="0" w:firstLine="482" w:firstLineChars="20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二、主动公开政府信息情况</w:t>
      </w:r>
    </w:p>
    <w:tbl>
      <w:tblPr>
        <w:tblStyle w:val="4"/>
        <w:tblW w:w="9740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35"/>
        <w:gridCol w:w="2435"/>
        <w:gridCol w:w="2435"/>
        <w:gridCol w:w="243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第二十条第（一）项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</w:t>
            </w:r>
            <w:r>
              <w:rPr>
                <w:rFonts w:hint="eastAsia" w:ascii="宋体" w:eastAsia="宋体"/>
                <w:sz w:val="20"/>
                <w:szCs w:val="20"/>
              </w:rPr>
              <w:t>制发件数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本年废止件数</w:t>
            </w:r>
          </w:p>
        </w:tc>
        <w:tc>
          <w:tcPr>
            <w:tcW w:w="24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color w:val="000000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现行有效件</w:t>
            </w:r>
            <w:r>
              <w:rPr>
                <w:rFonts w:hint="eastAsia" w:ascii="宋体" w:eastAsia="宋体"/>
                <w:sz w:val="20"/>
                <w:szCs w:val="20"/>
              </w:rPr>
              <w:t>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规章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　　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 　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行政规范性文件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　　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 　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4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第二十条第（五）项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行政许可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153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第二十条第（六）项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本年处理决定数量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行政处罚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　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行政强制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　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974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第二十条第（八）项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信息内容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本年收费金额（单位：万元）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0" w:hRule="atLeast"/>
          <w:jc w:val="center"/>
        </w:trPr>
        <w:tc>
          <w:tcPr>
            <w:tcW w:w="243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1"/>
                <w:szCs w:val="21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行政事业性收费</w:t>
            </w:r>
          </w:p>
        </w:tc>
        <w:tc>
          <w:tcPr>
            <w:tcW w:w="7305" w:type="dxa"/>
            <w:gridSpan w:val="3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/>
                <w:sz w:val="21"/>
                <w:szCs w:val="21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</w:pPr>
    </w:p>
    <w:p>
      <w:pPr>
        <w:pStyle w:val="3"/>
        <w:shd w:val="clear" w:color="auto" w:fill="FFFFFF"/>
        <w:spacing w:before="0" w:beforeAutospacing="0" w:after="0" w:afterAutospacing="0"/>
        <w:ind w:right="0" w:firstLine="241" w:firstLineChars="10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三、收到和处理政府信息公开申请情况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3"/>
        <w:gridCol w:w="921"/>
        <w:gridCol w:w="3272"/>
        <w:gridCol w:w="686"/>
        <w:gridCol w:w="686"/>
        <w:gridCol w:w="686"/>
        <w:gridCol w:w="686"/>
        <w:gridCol w:w="686"/>
        <w:gridCol w:w="686"/>
        <w:gridCol w:w="6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楷体_GB2312" w:eastAsia="楷体_GB2312"/>
                <w:sz w:val="20"/>
                <w:szCs w:val="20"/>
              </w:rPr>
            </w:pPr>
            <w:r>
              <w:rPr>
                <w:rFonts w:hint="eastAsia" w:ascii="楷体" w:eastAsia="楷体"/>
                <w:sz w:val="20"/>
                <w:szCs w:val="20"/>
              </w:rPr>
              <w:t>（本列数据的勾稽关系为：第一项加第二项之和，等于第三项加第四项之和）</w:t>
            </w:r>
          </w:p>
        </w:tc>
        <w:tc>
          <w:tcPr>
            <w:tcW w:w="4802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申请人情况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自然人</w:t>
            </w:r>
          </w:p>
        </w:tc>
        <w:tc>
          <w:tcPr>
            <w:tcW w:w="343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法人或其他组织</w:t>
            </w:r>
          </w:p>
        </w:tc>
        <w:tc>
          <w:tcPr>
            <w:tcW w:w="686" w:type="dxa"/>
            <w:vMerge w:val="restart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商业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企业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科研</w:t>
            </w:r>
          </w:p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社会公益组织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法律服务机构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</w:p>
        </w:tc>
        <w:tc>
          <w:tcPr>
            <w:tcW w:w="686" w:type="dxa"/>
            <w:vMerge w:val="continue"/>
            <w:tcBorders>
              <w:top w:val="single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一、本年新收政府信息公开申请数量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Calibri" w:hAnsi="Calibri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Calibri" w:hAnsi="Calibri"/>
                <w:sz w:val="20"/>
                <w:szCs w:val="20"/>
              </w:rPr>
              <w:t> 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  <w:r>
              <w:rPr>
                <w:rFonts w:hint="default" w:ascii="Calibri" w:hAnsi="Calibri"/>
                <w:sz w:val="20"/>
                <w:szCs w:val="2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二、上年结转政府信息公开申请数量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restart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三、本年度办理结果</w:t>
            </w:r>
          </w:p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（一）予以公开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（二）部分公开</w:t>
            </w:r>
            <w:r>
              <w:rPr>
                <w:rFonts w:hint="eastAsia" w:ascii="楷体" w:eastAsia="楷体"/>
                <w:sz w:val="20"/>
                <w:szCs w:val="20"/>
              </w:rPr>
              <w:t>（区分处理的，只计这一情形，不计其他情形）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（三）不予公开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1.属于国家秘密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2.其他法律行政法规禁止公开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3.危及“三安全一稳定”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4.保护第三方合法权益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5.属于三类内部事务信息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6.属于四类过程性信息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7.属于行政执法案卷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8.属于行政查询事项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（四）无法提供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1.本机关不掌握相关政府信息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2.没有现成信息需要另行制作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3.补正后申请内容仍不明确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（五）不予处理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1.信访举报投诉类申请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3.要求提供公开出版物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4.无正当理由大量反复申请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9" w:hRule="atLeast"/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5.要求行政机关确认或重新出具已获取信息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restart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（六）其他处理</w:t>
            </w:r>
          </w:p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1.申请人无正当理由逾期不补正、行政机关不再处理其政府信息公开申请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2.申请人逾期未按收费通知要求缴纳费用、行政机关不再处理其政府信息公开申请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921" w:type="dxa"/>
            <w:vMerge w:val="continue"/>
            <w:tcBorders>
              <w:top w:val="inset" w:color="auto" w:sz="8" w:space="0"/>
              <w:left w:val="nil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32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3.其他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754" w:type="dxa"/>
            <w:vMerge w:val="continue"/>
            <w:tcBorders>
              <w:top w:val="nil"/>
              <w:left w:val="single" w:color="auto" w:sz="8" w:space="0"/>
              <w:bottom w:val="inset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419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eastAsia" w:ascii="宋体" w:eastAsia="宋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（七）总计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4947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left"/>
              <w:rPr>
                <w:rFonts w:hint="default" w:ascii="Calibri" w:hAnsi="Calibri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四、结转下年度继续办理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/>
              <w:jc w:val="center"/>
              <w:rPr>
                <w:rFonts w:hint="eastAsia" w:ascii="Calibri" w:hAnsi="Calibri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 w:ascii="Calibri" w:hAnsi="Calibri"/>
                <w:sz w:val="20"/>
                <w:szCs w:val="20"/>
              </w:rPr>
              <w:t> </w:t>
            </w:r>
            <w:r>
              <w:rPr>
                <w:rFonts w:hint="eastAsia" w:ascii="Calibri" w:hAnsi="Calibri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spacing w:before="0" w:beforeAutospacing="0" w:after="179" w:afterAutospacing="0"/>
              <w:ind w:left="0" w:right="0"/>
              <w:rPr>
                <w:rFonts w:hint="eastAsia" w:ascii="宋体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right="0" w:firstLine="241" w:firstLineChars="10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四、政府信息公开行政复议、行政诉讼情况</w:t>
      </w:r>
    </w:p>
    <w:tbl>
      <w:tblPr>
        <w:tblStyle w:val="4"/>
        <w:tblW w:w="97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649"/>
        <w:gridCol w:w="649"/>
        <w:gridCol w:w="649"/>
        <w:gridCol w:w="649"/>
        <w:gridCol w:w="649"/>
        <w:gridCol w:w="649"/>
        <w:gridCol w:w="650"/>
        <w:gridCol w:w="650"/>
        <w:gridCol w:w="650"/>
        <w:gridCol w:w="651"/>
        <w:gridCol w:w="651"/>
        <w:gridCol w:w="651"/>
        <w:gridCol w:w="651"/>
        <w:gridCol w:w="65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3245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行政复议</w:t>
            </w:r>
          </w:p>
        </w:tc>
        <w:tc>
          <w:tcPr>
            <w:tcW w:w="6498" w:type="dxa"/>
            <w:gridSpan w:val="10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行政诉讼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结果维持</w:t>
            </w:r>
          </w:p>
        </w:tc>
        <w:tc>
          <w:tcPr>
            <w:tcW w:w="649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49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总计</w:t>
            </w:r>
          </w:p>
        </w:tc>
        <w:tc>
          <w:tcPr>
            <w:tcW w:w="3248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未经复议直接起诉</w:t>
            </w:r>
          </w:p>
        </w:tc>
        <w:tc>
          <w:tcPr>
            <w:tcW w:w="325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复议后起诉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/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维持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总计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维持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结果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纠正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其他</w:t>
            </w: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结果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sz w:val="20"/>
                <w:szCs w:val="20"/>
              </w:rPr>
              <w:t>尚未</w:t>
            </w:r>
            <w:r>
              <w:rPr>
                <w:rFonts w:hint="eastAsia" w:ascii="宋体" w:eastAsia="宋体"/>
                <w:sz w:val="20"/>
                <w:szCs w:val="20"/>
              </w:rPr>
              <w:br w:type="textWrapping"/>
            </w:r>
            <w:r>
              <w:rPr>
                <w:rFonts w:hint="eastAsia" w:ascii="宋体" w:eastAsia="宋体"/>
                <w:sz w:val="20"/>
                <w:szCs w:val="20"/>
              </w:rPr>
              <w:t>审结</w:t>
            </w:r>
          </w:p>
        </w:tc>
        <w:tc>
          <w:tcPr>
            <w:tcW w:w="6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</w:rPr>
            </w:pPr>
            <w:r>
              <w:rPr>
                <w:rFonts w:hint="eastAsia" w:ascii="宋体" w:eastAsia="宋体"/>
                <w:color w:val="000000"/>
                <w:sz w:val="20"/>
                <w:szCs w:val="20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2" w:hRule="atLeast"/>
          <w:jc w:val="center"/>
        </w:trPr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4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0" w:afterAutospacing="0"/>
              <w:ind w:left="0" w:right="0" w:firstLine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65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spacing w:before="0" w:beforeAutospacing="0" w:after="179" w:afterAutospacing="0"/>
              <w:ind w:left="0" w:right="0"/>
              <w:jc w:val="center"/>
              <w:rPr>
                <w:rFonts w:hint="eastAsia" w:ascii="黑体" w:eastAsia="黑体"/>
                <w:sz w:val="20"/>
                <w:szCs w:val="20"/>
                <w:lang w:val="en-US" w:eastAsia="zh-CN"/>
              </w:rPr>
            </w:pPr>
            <w:r>
              <w:rPr>
                <w:rFonts w:hint="eastAsia" w:ascii="黑体" w:eastAsia="黑体"/>
                <w:sz w:val="20"/>
                <w:szCs w:val="20"/>
                <w:lang w:val="en-US" w:eastAsia="zh-CN"/>
              </w:rPr>
              <w:t>0</w:t>
            </w:r>
          </w:p>
        </w:tc>
      </w:tr>
    </w:tbl>
    <w:p>
      <w:pPr>
        <w:pStyle w:val="3"/>
        <w:shd w:val="clear" w:color="auto" w:fill="FFFFFF"/>
        <w:spacing w:before="0" w:beforeAutospacing="0" w:after="0" w:afterAutospacing="0"/>
        <w:ind w:right="0" w:firstLine="241" w:firstLineChars="100"/>
        <w:rPr>
          <w:rFonts w:hint="eastAsia" w:ascii="宋体" w:eastAsia="宋体"/>
          <w:color w:val="333333"/>
          <w:spacing w:val="0"/>
          <w:sz w:val="24"/>
          <w:szCs w:val="24"/>
        </w:rPr>
      </w:pPr>
      <w:bookmarkStart w:id="0" w:name="_GoBack"/>
      <w:bookmarkEnd w:id="0"/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五、存在的主要问题及改进情况</w:t>
      </w:r>
    </w:p>
    <w:p>
      <w:pPr>
        <w:widowControl/>
        <w:shd w:val="clear" w:color="auto" w:fill="FFFFFF"/>
        <w:spacing w:line="500" w:lineRule="exact"/>
        <w:ind w:firstLine="482"/>
        <w:rPr>
          <w:rFonts w:hint="eastAsia" w:ascii="仿宋_GB2312" w:hAnsi="宋体" w:eastAsia="仿宋_GB2312" w:cs="宋体"/>
          <w:bCs/>
          <w:color w:val="333333"/>
          <w:kern w:val="0"/>
          <w:sz w:val="24"/>
        </w:rPr>
      </w:pPr>
      <w:r>
        <w:rPr>
          <w:rFonts w:ascii="仿宋_GB2312" w:hAnsi="宋体" w:eastAsia="仿宋_GB2312" w:cs="宋体"/>
          <w:bCs/>
          <w:color w:val="333333"/>
          <w:kern w:val="0"/>
          <w:sz w:val="24"/>
        </w:rPr>
        <w:t>（一）主要问题：信息公开的内容有待进一步完善。</w:t>
      </w:r>
    </w:p>
    <w:p>
      <w:pPr>
        <w:widowControl/>
        <w:shd w:val="clear" w:color="auto" w:fill="FFFFFF"/>
        <w:spacing w:line="500" w:lineRule="exact"/>
        <w:ind w:firstLine="482"/>
        <w:rPr>
          <w:rFonts w:hint="eastAsia" w:ascii="仿宋_GB2312" w:hAnsi="宋体" w:eastAsia="仿宋_GB2312" w:cs="宋体"/>
          <w:bCs/>
          <w:color w:val="333333"/>
          <w:kern w:val="0"/>
          <w:sz w:val="24"/>
        </w:rPr>
      </w:pPr>
      <w:r>
        <w:rPr>
          <w:rFonts w:ascii="仿宋_GB2312" w:hAnsi="宋体" w:eastAsia="仿宋_GB2312" w:cs="宋体"/>
          <w:bCs/>
          <w:color w:val="333333"/>
          <w:kern w:val="0"/>
          <w:sz w:val="24"/>
        </w:rPr>
        <w:t>（二）改进措施及情况：一是规范流程、统一认识。进一步梳理政务信息，及时提供，定期维护，确保政府信息公开工作能按照既定的工作流程有效运作，公众能够方便查询。二是加强更新、提高认可。尤其在主动公开信息上力争做到及时、准确公布各项信息，方便群众了解本镇建设发展的动态。三是主动学习、提升水平。学习政府信息公开工作中的先进经验，结合本镇的实际情况，不断提高公开水平。</w:t>
      </w: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</w:pPr>
    </w:p>
    <w:p>
      <w:pPr>
        <w:pStyle w:val="3"/>
        <w:shd w:val="clear" w:color="auto" w:fill="FFFFFF"/>
        <w:spacing w:before="0" w:beforeAutospacing="0" w:after="0" w:afterAutospacing="0"/>
        <w:ind w:left="0" w:right="0" w:firstLine="480"/>
        <w:rPr>
          <w:rFonts w:hint="eastAsia" w:ascii="宋体" w:eastAsia="宋体"/>
          <w:color w:val="333333"/>
          <w:spacing w:val="0"/>
          <w:sz w:val="24"/>
          <w:szCs w:val="24"/>
        </w:rPr>
      </w:pPr>
      <w:r>
        <w:rPr>
          <w:rFonts w:hint="eastAsia" w:ascii="宋体" w:eastAsia="宋体"/>
          <w:b/>
          <w:bCs/>
          <w:color w:val="333333"/>
          <w:spacing w:val="0"/>
          <w:sz w:val="24"/>
          <w:szCs w:val="24"/>
        </w:rPr>
        <w:t>六、其他需要报告的事项</w:t>
      </w:r>
    </w:p>
    <w:p>
      <w:pPr>
        <w:ind w:firstLine="720" w:firstLineChars="300"/>
        <w:rPr>
          <w:rFonts w:hint="eastAsia" w:ascii="仿宋_GB2312" w:hAnsi="宋体" w:eastAsia="仿宋_GB2312" w:cs="宋体"/>
          <w:bCs/>
          <w:color w:val="333333"/>
          <w:kern w:val="0"/>
          <w:sz w:val="24"/>
          <w:lang w:val="en-US" w:eastAsia="zh-CN"/>
        </w:rPr>
      </w:pPr>
    </w:p>
    <w:p>
      <w:pPr>
        <w:ind w:firstLine="720" w:firstLineChars="300"/>
        <w:rPr>
          <w:rFonts w:hint="eastAsia" w:eastAsia="宋体"/>
          <w:lang w:val="en-US" w:eastAsia="zh-CN"/>
        </w:rPr>
      </w:pPr>
      <w:r>
        <w:rPr>
          <w:rFonts w:hint="eastAsia" w:ascii="仿宋_GB2312" w:hAnsi="宋体" w:eastAsia="仿宋_GB2312" w:cs="宋体"/>
          <w:bCs/>
          <w:color w:val="333333"/>
          <w:kern w:val="0"/>
          <w:sz w:val="24"/>
          <w:lang w:val="en-US" w:eastAsia="zh-CN"/>
        </w:rPr>
        <w:t>无</w:t>
      </w:r>
      <w:r>
        <w:rPr>
          <w:rFonts w:ascii="仿宋_GB2312" w:hAnsi="宋体" w:eastAsia="仿宋_GB2312" w:cs="宋体"/>
          <w:bCs/>
          <w:color w:val="333333"/>
          <w:kern w:val="0"/>
          <w:sz w:val="24"/>
        </w:rPr>
        <w:t>其他需要报告的事项</w:t>
      </w:r>
    </w:p>
    <w:p/>
    <w:sectPr>
      <w:pgSz w:w="11907" w:h="16840"/>
      <w:pgMar w:top="1440" w:right="1474" w:bottom="1440" w:left="1588" w:header="851" w:footer="992" w:gutter="0"/>
      <w:cols w:space="720" w:num="1"/>
      <w:docGrid w:type="lines" w:linePitch="32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9823AC"/>
    <w:rsid w:val="76982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line="240" w:lineRule="auto"/>
      <w:jc w:val="left"/>
    </w:pPr>
    <w:rPr>
      <w:rFonts w:ascii="宋体" w:hAnsi="Times New Roman" w:eastAsia="宋体" w:cs="Times New Roman"/>
      <w:kern w:val="2"/>
      <w:sz w:val="24"/>
      <w:szCs w:val="21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</w:rPr>
  </w:style>
  <w:style w:type="paragraph" w:styleId="3">
    <w:name w:val="Normal (Web)"/>
    <w:basedOn w:val="1"/>
    <w:next w:val="2"/>
    <w:uiPriority w:val="0"/>
    <w:pPr>
      <w:keepNext w:val="0"/>
      <w:keepLines w:val="0"/>
      <w:pageBreakBefore w:val="0"/>
      <w:widowControl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100" w:beforeAutospacing="1" w:after="100" w:afterAutospacing="1" w:line="240" w:lineRule="auto"/>
      <w:ind w:left="0" w:right="0" w:firstLine="0"/>
      <w:jc w:val="left"/>
      <w:textAlignment w:val="auto"/>
      <w:outlineLvl w:val="9"/>
    </w:pPr>
    <w:rPr>
      <w:rFonts w:ascii="宋体" w:eastAsia="宋体"/>
      <w:snapToGrid/>
      <w:color w:val="auto"/>
      <w:spacing w:val="0"/>
      <w:w w:val="100"/>
      <w:kern w:val="0"/>
      <w:position w:val="0"/>
      <w:sz w:val="24"/>
      <w:szCs w:val="21"/>
      <w:u w:val="none" w:color="auto"/>
      <w:vertAlign w:val="baseline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2022-01-20T08:02:00Z</dcterms:created>
  <dc:creator>Administrator</dc:creator>
  <cp:lastModifiedBy>Administrator</cp:lastModifiedBy>
  <dcterms:modified xsi:type="dcterms:W3CDTF">2022-01-20T08:15:17Z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06E70DE775594240A52EA1BC2FAB8FCE</vt:lpwstr>
  </property>
</Properties>
</file>