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0" w:beforeAutospacing="0" w:after="0" w:afterAutospacing="0"/>
        <w:ind w:left="0" w:right="0" w:firstLine="0"/>
        <w:jc w:val="center"/>
        <w:rPr>
          <w:rFonts w:hint="eastAsia" w:cs="Times New Roman"/>
          <w:b/>
          <w:bCs/>
          <w:color w:val="333333"/>
          <w:spacing w:val="0"/>
          <w:sz w:val="36"/>
          <w:szCs w:val="36"/>
          <w:lang w:val="en-US" w:eastAsia="zh-CN"/>
        </w:rPr>
      </w:pPr>
      <w:r>
        <w:rPr>
          <w:rFonts w:hint="eastAsia" w:cs="Times New Roman"/>
          <w:b/>
          <w:bCs/>
          <w:color w:val="333333"/>
          <w:spacing w:val="0"/>
          <w:sz w:val="36"/>
          <w:szCs w:val="36"/>
          <w:lang w:eastAsia="zh-CN"/>
        </w:rPr>
        <w:t>怀来县卫生健康局</w:t>
      </w:r>
      <w:r>
        <w:rPr>
          <w:rFonts w:hint="eastAsia" w:cs="Times New Roman"/>
          <w:b/>
          <w:bCs/>
          <w:color w:val="333333"/>
          <w:spacing w:val="0"/>
          <w:sz w:val="36"/>
          <w:szCs w:val="36"/>
          <w:lang w:val="en-US" w:eastAsia="zh-CN"/>
        </w:rPr>
        <w:t>2021年度</w:t>
      </w:r>
    </w:p>
    <w:p>
      <w:pPr>
        <w:pStyle w:val="3"/>
        <w:shd w:val="clear" w:color="auto" w:fill="FFFFFF"/>
        <w:spacing w:before="0" w:beforeAutospacing="0" w:after="0" w:afterAutospacing="0"/>
        <w:ind w:left="0" w:right="0" w:firstLine="0"/>
        <w:jc w:val="center"/>
        <w:rPr>
          <w:rFonts w:hint="eastAsia" w:ascii="宋体" w:hAnsi="Times New Roman" w:eastAsia="宋体" w:cs="Times New Roman"/>
          <w:color w:val="333333"/>
          <w:spacing w:val="0"/>
          <w:sz w:val="24"/>
          <w:szCs w:val="24"/>
        </w:rPr>
      </w:pPr>
      <w:bookmarkStart w:id="0" w:name="_GoBack"/>
      <w:bookmarkEnd w:id="0"/>
      <w:r>
        <w:rPr>
          <w:rFonts w:hint="eastAsia" w:ascii="宋体" w:hAnsi="Times New Roman" w:eastAsia="宋体" w:cs="Times New Roman"/>
          <w:b/>
          <w:bCs/>
          <w:color w:val="333333"/>
          <w:spacing w:val="0"/>
          <w:sz w:val="36"/>
          <w:szCs w:val="36"/>
        </w:rPr>
        <w:t>政府信息公开工作年度报告</w:t>
      </w:r>
    </w:p>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b w:val="0"/>
          <w:bCs w:val="0"/>
          <w:color w:val="333333"/>
          <w:spacing w:val="0"/>
          <w:sz w:val="24"/>
          <w:szCs w:val="24"/>
        </w:rPr>
      </w:pPr>
      <w:r>
        <w:rPr>
          <w:rFonts w:hint="eastAsia" w:ascii="宋体" w:hAnsi="Times New Roman" w:eastAsia="宋体" w:cs="Times New Roman"/>
          <w:b w:val="0"/>
          <w:bCs w:val="0"/>
          <w:color w:val="333333"/>
          <w:spacing w:val="0"/>
          <w:sz w:val="24"/>
          <w:szCs w:val="24"/>
        </w:rPr>
        <w:t>本年报是根据新修订的《中华人民共和国政府信息公开条例》（以下简称新《条例》）和国务院办公厅政府信息与政务公开办公室关于印发《中华人民共和国政府信息公开工作年度报告格式》的通知（国办公开办函〔2021〕30号）要求，由</w:t>
      </w:r>
      <w:r>
        <w:rPr>
          <w:rFonts w:hint="eastAsia" w:cs="Times New Roman"/>
          <w:b w:val="0"/>
          <w:bCs w:val="0"/>
          <w:color w:val="333333"/>
          <w:spacing w:val="0"/>
          <w:sz w:val="24"/>
          <w:szCs w:val="24"/>
          <w:lang w:eastAsia="zh-CN"/>
        </w:rPr>
        <w:t>怀来县卫健局</w:t>
      </w:r>
      <w:r>
        <w:rPr>
          <w:rFonts w:hint="eastAsia" w:ascii="宋体" w:hAnsi="Times New Roman" w:eastAsia="宋体" w:cs="Times New Roman"/>
          <w:b w:val="0"/>
          <w:bCs w:val="0"/>
          <w:color w:val="333333"/>
          <w:spacing w:val="0"/>
          <w:sz w:val="24"/>
          <w:szCs w:val="24"/>
        </w:rPr>
        <w:t>编制而成。报告由总体情况、主动公开政府信息情况、收到和处理政府信息公开申请情况、政府信息公开行政复议</w:t>
      </w:r>
      <w:r>
        <w:rPr>
          <w:rFonts w:hint="eastAsia" w:cs="Times New Roman"/>
          <w:b w:val="0"/>
          <w:bCs w:val="0"/>
          <w:color w:val="333333"/>
          <w:spacing w:val="0"/>
          <w:sz w:val="24"/>
          <w:szCs w:val="24"/>
          <w:lang w:eastAsia="zh-CN"/>
        </w:rPr>
        <w:t>和</w:t>
      </w:r>
      <w:r>
        <w:rPr>
          <w:rFonts w:hint="eastAsia" w:ascii="宋体" w:hAnsi="Times New Roman" w:eastAsia="宋体" w:cs="Times New Roman"/>
          <w:b w:val="0"/>
          <w:bCs w:val="0"/>
          <w:color w:val="333333"/>
          <w:spacing w:val="0"/>
          <w:sz w:val="24"/>
          <w:szCs w:val="24"/>
        </w:rPr>
        <w:t>行政诉讼情况、存在的主要问题及改进情况、其他需要报告的事项等部分组成。</w:t>
      </w:r>
      <w:r>
        <w:rPr>
          <w:rFonts w:hint="eastAsia" w:cs="Times New Roman"/>
          <w:b w:val="0"/>
          <w:bCs w:val="0"/>
          <w:color w:val="333333"/>
          <w:spacing w:val="0"/>
          <w:sz w:val="24"/>
          <w:szCs w:val="24"/>
          <w:lang w:eastAsia="zh-CN"/>
        </w:rPr>
        <w:t>本</w:t>
      </w:r>
      <w:r>
        <w:rPr>
          <w:rFonts w:hint="eastAsia" w:ascii="宋体" w:hAnsi="Times New Roman" w:eastAsia="宋体" w:cs="Times New Roman"/>
          <w:b w:val="0"/>
          <w:bCs w:val="0"/>
          <w:color w:val="333333"/>
          <w:spacing w:val="0"/>
          <w:sz w:val="24"/>
          <w:szCs w:val="24"/>
        </w:rPr>
        <w:t>报告中所列数据统计期限为2021年1月1日至2021年12月31日。</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一、总体情况</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（一）主动公开情况</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2021年，</w:t>
      </w:r>
      <w:r>
        <w:rPr>
          <w:rFonts w:hint="eastAsia" w:cs="Times New Roman"/>
          <w:color w:val="333333"/>
          <w:spacing w:val="0"/>
          <w:sz w:val="24"/>
          <w:szCs w:val="24"/>
          <w:lang w:eastAsia="zh-CN"/>
        </w:rPr>
        <w:t>我</w:t>
      </w:r>
      <w:r>
        <w:rPr>
          <w:rFonts w:hint="eastAsia" w:ascii="宋体" w:hAnsi="Times New Roman" w:eastAsia="宋体" w:cs="Times New Roman"/>
          <w:color w:val="333333"/>
          <w:spacing w:val="0"/>
          <w:sz w:val="24"/>
          <w:szCs w:val="24"/>
        </w:rPr>
        <w:t>局严格执行《政府信息公开条例》和省、市、县关于政府信息公开工作的部署要求，认真执行信息审核发布制度和主动公开及依申请公开办事程序，在允许公开的范围内，依法及时更新、发布行业类信息、工作动态、监督执法工作开展情况，巩固信息公开成果，着力推进各项工作落实</w:t>
      </w:r>
      <w:r>
        <w:rPr>
          <w:rFonts w:hint="eastAsia" w:cs="Times New Roman"/>
          <w:color w:val="333333"/>
          <w:spacing w:val="0"/>
          <w:sz w:val="24"/>
          <w:szCs w:val="24"/>
          <w:lang w:eastAsia="zh-CN"/>
        </w:rPr>
        <w:t>。</w:t>
      </w:r>
      <w:r>
        <w:rPr>
          <w:rFonts w:hint="eastAsia" w:ascii="宋体" w:hAnsi="Times New Roman" w:eastAsia="宋体" w:cs="Times New Roman"/>
          <w:color w:val="333333"/>
          <w:spacing w:val="0"/>
          <w:sz w:val="24"/>
          <w:szCs w:val="24"/>
        </w:rPr>
        <w:t>2021年，</w:t>
      </w:r>
      <w:r>
        <w:rPr>
          <w:rFonts w:hint="eastAsia" w:cs="Times New Roman"/>
          <w:color w:val="333333"/>
          <w:spacing w:val="0"/>
          <w:sz w:val="24"/>
          <w:szCs w:val="24"/>
          <w:lang w:eastAsia="zh-CN"/>
        </w:rPr>
        <w:t>我局通过</w:t>
      </w:r>
      <w:r>
        <w:rPr>
          <w:rFonts w:hint="eastAsia" w:ascii="宋体" w:hAnsi="Times New Roman" w:eastAsia="宋体" w:cs="Times New Roman"/>
          <w:color w:val="333333"/>
          <w:spacing w:val="0"/>
          <w:sz w:val="24"/>
          <w:szCs w:val="24"/>
          <w:u w:val="none"/>
        </w:rPr>
        <w:t>门户网站主动公开疫情防控专题专栏</w:t>
      </w:r>
      <w:r>
        <w:rPr>
          <w:rFonts w:hint="eastAsia" w:cs="Times New Roman"/>
          <w:color w:val="333333"/>
          <w:spacing w:val="0"/>
          <w:sz w:val="24"/>
          <w:szCs w:val="24"/>
          <w:u w:val="none"/>
          <w:lang w:eastAsia="zh-CN"/>
        </w:rPr>
        <w:t>信息</w:t>
      </w:r>
      <w:r>
        <w:rPr>
          <w:rFonts w:hint="eastAsia" w:cs="Times New Roman"/>
          <w:color w:val="333333"/>
          <w:spacing w:val="0"/>
          <w:sz w:val="24"/>
          <w:szCs w:val="24"/>
          <w:u w:val="none"/>
          <w:lang w:val="en-US" w:eastAsia="zh-CN"/>
        </w:rPr>
        <w:t>21</w:t>
      </w:r>
      <w:r>
        <w:rPr>
          <w:rFonts w:hint="eastAsia" w:ascii="宋体" w:hAnsi="Times New Roman" w:eastAsia="宋体" w:cs="Times New Roman"/>
          <w:color w:val="333333"/>
          <w:spacing w:val="0"/>
          <w:sz w:val="24"/>
          <w:szCs w:val="24"/>
          <w:u w:val="none"/>
        </w:rPr>
        <w:t>条</w:t>
      </w:r>
      <w:r>
        <w:rPr>
          <w:rFonts w:hint="eastAsia" w:cs="Times New Roman"/>
          <w:color w:val="333333"/>
          <w:spacing w:val="0"/>
          <w:sz w:val="24"/>
          <w:szCs w:val="24"/>
          <w:u w:val="none"/>
          <w:lang w:eastAsia="zh-CN"/>
        </w:rPr>
        <w:t>，</w:t>
      </w:r>
      <w:r>
        <w:rPr>
          <w:rFonts w:hint="eastAsia" w:ascii="宋体" w:hAnsi="Times New Roman" w:eastAsia="宋体" w:cs="Times New Roman"/>
          <w:color w:val="333333"/>
          <w:spacing w:val="0"/>
          <w:sz w:val="24"/>
          <w:szCs w:val="24"/>
          <w:u w:val="none"/>
        </w:rPr>
        <w:t>信息报道</w:t>
      </w:r>
      <w:r>
        <w:rPr>
          <w:rFonts w:hint="eastAsia" w:cs="Times New Roman"/>
          <w:color w:val="333333"/>
          <w:spacing w:val="0"/>
          <w:sz w:val="24"/>
          <w:szCs w:val="24"/>
          <w:u w:val="none"/>
          <w:lang w:val="en-US" w:eastAsia="zh-CN"/>
        </w:rPr>
        <w:t>19</w:t>
      </w:r>
      <w:r>
        <w:rPr>
          <w:rFonts w:hint="eastAsia" w:ascii="宋体" w:hAnsi="Times New Roman" w:eastAsia="宋体" w:cs="Times New Roman"/>
          <w:color w:val="333333"/>
          <w:spacing w:val="0"/>
          <w:sz w:val="24"/>
          <w:szCs w:val="24"/>
          <w:u w:val="none"/>
        </w:rPr>
        <w:t>条。</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（二）依申请公开情况</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我</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高度重视依申请公开工作，对接收的申请及时办理，认真落实，提高办理质量，切实保障公众知情权。2021年，我</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受理依申请公开0件。</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（三）政府信息管理</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完善政务信息公开制度，加强政务信息公开后的管理，特别是重要政务信息的管理，严格落实信息发布审批制度和信息公开保密审查制度等信息公开工作机制，做到“先审查、后公开”。同时定期开展自查工作，尽力做到“应公开、尽公开”。2021年未出现信息安全事件。</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（四）政府信息公开平台建设</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完善政府信息公开平台体系。规范运营信息公开平台；继续深化与</w:t>
      </w:r>
      <w:r>
        <w:rPr>
          <w:rFonts w:hint="eastAsia" w:cs="Times New Roman"/>
          <w:color w:val="333333"/>
          <w:spacing w:val="0"/>
          <w:sz w:val="24"/>
          <w:szCs w:val="24"/>
          <w:lang w:eastAsia="zh-CN"/>
        </w:rPr>
        <w:t>本县</w:t>
      </w:r>
      <w:r>
        <w:rPr>
          <w:rFonts w:hint="eastAsia" w:ascii="宋体" w:hAnsi="Times New Roman" w:eastAsia="宋体" w:cs="Times New Roman"/>
          <w:color w:val="333333"/>
          <w:spacing w:val="0"/>
          <w:sz w:val="24"/>
          <w:szCs w:val="24"/>
        </w:rPr>
        <w:t>主流媒体合作，开设卫生健康专栏，专题宣传新冠肺炎疫情防控、健康城市建设等，动态实时宣传卫生健康重点工作、法律法规及科普知识；全力抓好各医疗卫生机构宣传教育阵地建设，依托公示栏、LED屏等，不断延伸卫生健康政务公开工作。</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（五）监督保障</w:t>
      </w:r>
    </w:p>
    <w:p>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left="0" w:right="0" w:firstLine="482"/>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本年度积极与县政务公开办协调沟通，配合做好网站巡查，围绕反馈问题积极落实整改。建立了监督评议制度，自觉接受社会各界监督，坚持内部监督和社会监督相结合，对外公布投诉举报电话，推进人民群众监督和舆论监督，及时反馈群众呼声。卫健</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对本部门所承担的各项栏目进行公开，不断完善责任追究制度</w:t>
      </w:r>
      <w:r>
        <w:rPr>
          <w:rFonts w:hint="eastAsia" w:cs="Times New Roman"/>
          <w:color w:val="333333"/>
          <w:spacing w:val="0"/>
          <w:sz w:val="24"/>
          <w:szCs w:val="24"/>
          <w:lang w:eastAsia="zh-CN"/>
        </w:rPr>
        <w:t>。</w:t>
      </w:r>
      <w:r>
        <w:rPr>
          <w:rFonts w:hint="eastAsia" w:ascii="宋体" w:hAnsi="Times New Roman" w:eastAsia="宋体" w:cs="Times New Roman"/>
          <w:color w:val="333333"/>
          <w:spacing w:val="0"/>
          <w:sz w:val="24"/>
          <w:szCs w:val="24"/>
        </w:rPr>
        <w:t>2021年我</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未发生政务公开责任追究情况。</w:t>
      </w:r>
    </w:p>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二、主动公开政府信息情况</w:t>
      </w:r>
    </w:p>
    <w:tbl>
      <w:tblPr>
        <w:tblStyle w:val="4"/>
        <w:tblW w:w="9740" w:type="dxa"/>
        <w:jc w:val="center"/>
        <w:tblLayout w:type="autofit"/>
        <w:tblCellMar>
          <w:top w:w="15" w:type="dxa"/>
          <w:left w:w="15" w:type="dxa"/>
          <w:bottom w:w="15" w:type="dxa"/>
          <w:right w:w="15" w:type="dxa"/>
        </w:tblCellMar>
      </w:tblPr>
      <w:tblGrid>
        <w:gridCol w:w="2435"/>
        <w:gridCol w:w="2435"/>
        <w:gridCol w:w="2435"/>
        <w:gridCol w:w="2435"/>
      </w:tblGrid>
      <w:tr>
        <w:tblPrEx>
          <w:tblCellMar>
            <w:top w:w="15" w:type="dxa"/>
            <w:left w:w="15" w:type="dxa"/>
            <w:bottom w:w="15" w:type="dxa"/>
            <w:right w:w="15" w:type="dxa"/>
          </w:tblCellMar>
        </w:tblPrEx>
        <w:trPr>
          <w:trHeight w:val="340" w:hRule="atLeast"/>
          <w:jc w:val="center"/>
        </w:trPr>
        <w:tc>
          <w:tcPr>
            <w:tcW w:w="9740" w:type="dxa"/>
            <w:gridSpan w:val="4"/>
            <w:tcBorders>
              <w:top w:val="single" w:color="auto" w:sz="8" w:space="0"/>
              <w:left w:val="single" w:color="auto" w:sz="8" w:space="0"/>
              <w:bottom w:val="single" w:color="auto" w:sz="8" w:space="0"/>
              <w:right w:val="single" w:color="auto" w:sz="8" w:space="0"/>
            </w:tcBorders>
            <w:shd w:val="clear" w:color="auto" w:fill="C6D9F1"/>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第二十条第（一）项</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信息内容</w:t>
            </w:r>
          </w:p>
        </w:tc>
        <w:tc>
          <w:tcPr>
            <w:tcW w:w="2435"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本年</w:t>
            </w:r>
            <w:r>
              <w:rPr>
                <w:rFonts w:hint="eastAsia" w:ascii="宋体" w:hAnsi="Times New Roman" w:eastAsia="宋体" w:cs="Times New Roman"/>
                <w:sz w:val="20"/>
                <w:szCs w:val="20"/>
              </w:rPr>
              <w:t>制发件数</w:t>
            </w:r>
          </w:p>
        </w:tc>
        <w:tc>
          <w:tcPr>
            <w:tcW w:w="2435"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本年废止件数</w:t>
            </w:r>
          </w:p>
        </w:tc>
        <w:tc>
          <w:tcPr>
            <w:tcW w:w="2435"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宋体" w:hAnsi="Times New Roman" w:eastAsia="宋体" w:cs="Times New Roman"/>
                <w:color w:val="000000"/>
                <w:sz w:val="20"/>
                <w:szCs w:val="20"/>
              </w:rPr>
            </w:pPr>
            <w:r>
              <w:rPr>
                <w:rFonts w:hint="eastAsia" w:ascii="宋体" w:hAnsi="Times New Roman" w:eastAsia="宋体" w:cs="Times New Roman"/>
                <w:color w:val="000000"/>
                <w:sz w:val="20"/>
                <w:szCs w:val="20"/>
              </w:rPr>
              <w:t>现行有效件</w:t>
            </w:r>
            <w:r>
              <w:rPr>
                <w:rFonts w:hint="eastAsia" w:ascii="宋体" w:hAnsi="Times New Roman" w:eastAsia="宋体" w:cs="Times New Roman"/>
                <w:sz w:val="20"/>
                <w:szCs w:val="20"/>
              </w:rPr>
              <w:t>数</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规章</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行政规范性文件</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2435"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CellMar>
            <w:top w:w="15" w:type="dxa"/>
            <w:left w:w="15" w:type="dxa"/>
            <w:bottom w:w="15" w:type="dxa"/>
            <w:right w:w="15"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C6D9F1"/>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第二十条第（五）项</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信息内容</w:t>
            </w:r>
          </w:p>
        </w:tc>
        <w:tc>
          <w:tcPr>
            <w:tcW w:w="7305" w:type="dxa"/>
            <w:gridSpan w:val="3"/>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本年处理决定数量</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行政许可</w:t>
            </w:r>
          </w:p>
        </w:tc>
        <w:tc>
          <w:tcPr>
            <w:tcW w:w="7305" w:type="dxa"/>
            <w:gridSpan w:val="3"/>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Calibri" w:hAnsi="Calibri" w:eastAsia="宋体" w:cs="Times New Roman"/>
                <w:sz w:val="21"/>
                <w:szCs w:val="21"/>
                <w:lang w:val="en-US" w:eastAsia="zh-CN"/>
              </w:rPr>
            </w:pPr>
            <w:r>
              <w:rPr>
                <w:rFonts w:hint="eastAsia" w:ascii="Times New Roman" w:hAnsi="Times New Roman" w:eastAsia="楷体" w:cs="Times New Roman"/>
                <w:sz w:val="24"/>
                <w:szCs w:val="18"/>
                <w:lang w:val="en-US" w:eastAsia="zh-CN"/>
              </w:rPr>
              <w:t>0</w:t>
            </w:r>
          </w:p>
        </w:tc>
      </w:tr>
      <w:tr>
        <w:tblPrEx>
          <w:tblCellMar>
            <w:top w:w="15" w:type="dxa"/>
            <w:left w:w="15" w:type="dxa"/>
            <w:bottom w:w="15" w:type="dxa"/>
            <w:right w:w="15"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C6D9F1"/>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第二十条第（六）项</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default" w:ascii="Calibri" w:hAnsi="Calibri" w:cs="Times New Roman"/>
                <w:sz w:val="21"/>
                <w:szCs w:val="21"/>
              </w:rPr>
            </w:pPr>
            <w:r>
              <w:rPr>
                <w:rFonts w:hint="eastAsia" w:ascii="宋体" w:hAnsi="Times New Roman" w:eastAsia="宋体" w:cs="Times New Roman"/>
                <w:color w:val="000000"/>
                <w:sz w:val="20"/>
                <w:szCs w:val="20"/>
              </w:rPr>
              <w:t>信息内容</w:t>
            </w:r>
          </w:p>
        </w:tc>
        <w:tc>
          <w:tcPr>
            <w:tcW w:w="7305" w:type="dxa"/>
            <w:gridSpan w:val="3"/>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firstLine="0"/>
              <w:jc w:val="center"/>
              <w:rPr>
                <w:rFonts w:hint="default" w:ascii="Calibri" w:hAnsi="Calibri" w:cs="Times New Roman"/>
                <w:sz w:val="21"/>
                <w:szCs w:val="21"/>
              </w:rPr>
            </w:pPr>
            <w:r>
              <w:rPr>
                <w:rFonts w:hint="eastAsia" w:ascii="宋体" w:hAnsi="Times New Roman" w:eastAsia="宋体" w:cs="Times New Roman"/>
                <w:color w:val="000000"/>
                <w:sz w:val="20"/>
                <w:szCs w:val="20"/>
              </w:rPr>
              <w:t>本年处理决定数量</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行政处罚</w:t>
            </w:r>
          </w:p>
        </w:tc>
        <w:tc>
          <w:tcPr>
            <w:tcW w:w="7305" w:type="dxa"/>
            <w:gridSpan w:val="3"/>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eastAsia="宋体" w:cs="Times New Roman"/>
                <w:sz w:val="21"/>
                <w:szCs w:val="21"/>
                <w:lang w:val="en-US" w:eastAsia="zh-CN"/>
              </w:rPr>
            </w:pPr>
            <w:r>
              <w:rPr>
                <w:rFonts w:hint="eastAsia" w:ascii="Times New Roman" w:hAnsi="Times New Roman" w:eastAsia="楷体" w:cs="Times New Roman"/>
                <w:sz w:val="24"/>
                <w:szCs w:val="18"/>
                <w:lang w:val="en-US" w:eastAsia="zh-CN"/>
              </w:rPr>
              <w:t>11</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行政强制</w:t>
            </w:r>
          </w:p>
        </w:tc>
        <w:tc>
          <w:tcPr>
            <w:tcW w:w="7305" w:type="dxa"/>
            <w:gridSpan w:val="3"/>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Calibri" w:hAnsi="Calibri" w:eastAsia="宋体" w:cs="Times New Roman"/>
                <w:sz w:val="21"/>
                <w:szCs w:val="21"/>
                <w:lang w:val="en-US" w:eastAsia="zh-CN"/>
              </w:rPr>
            </w:pPr>
            <w:r>
              <w:rPr>
                <w:rFonts w:hint="eastAsia" w:ascii="Times New Roman" w:hAnsi="Times New Roman" w:eastAsia="楷体" w:cs="Times New Roman"/>
                <w:sz w:val="24"/>
                <w:szCs w:val="18"/>
                <w:lang w:val="en-US" w:eastAsia="zh-CN"/>
              </w:rPr>
              <w:t>0</w:t>
            </w:r>
          </w:p>
        </w:tc>
      </w:tr>
      <w:tr>
        <w:tblPrEx>
          <w:tblCellMar>
            <w:top w:w="15" w:type="dxa"/>
            <w:left w:w="15" w:type="dxa"/>
            <w:bottom w:w="15" w:type="dxa"/>
            <w:right w:w="15"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C6D9F1"/>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第二十条第（八）项</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信息内容</w:t>
            </w:r>
          </w:p>
        </w:tc>
        <w:tc>
          <w:tcPr>
            <w:tcW w:w="7305" w:type="dxa"/>
            <w:gridSpan w:val="3"/>
            <w:tcBorders>
              <w:top w:val="nil"/>
              <w:left w:val="nil"/>
              <w:bottom w:val="single" w:color="auto" w:sz="8" w:space="0"/>
              <w:right w:val="single" w:color="000000" w:sz="8" w:space="0"/>
            </w:tcBorders>
            <w:noWrap w:val="0"/>
            <w:vAlign w:val="center"/>
          </w:tcPr>
          <w:p>
            <w:pPr>
              <w:spacing w:before="0" w:beforeAutospacing="0" w:after="0" w:afterAutospacing="0"/>
              <w:ind w:left="0" w:right="0"/>
              <w:jc w:val="center"/>
              <w:rPr>
                <w:rFonts w:hint="default" w:ascii="Calibri" w:hAnsi="Calibri" w:cs="Times New Roman"/>
                <w:sz w:val="21"/>
                <w:szCs w:val="21"/>
              </w:rPr>
            </w:pPr>
            <w:r>
              <w:rPr>
                <w:rFonts w:hint="eastAsia" w:ascii="宋体" w:hAnsi="Times New Roman" w:eastAsia="宋体" w:cs="Times New Roman"/>
                <w:color w:val="000000"/>
                <w:sz w:val="20"/>
                <w:szCs w:val="20"/>
              </w:rPr>
              <w:t>本年收费金额（单位：万元）</w:t>
            </w:r>
          </w:p>
        </w:tc>
      </w:tr>
      <w:tr>
        <w:tblPrEx>
          <w:tblCellMar>
            <w:top w:w="15" w:type="dxa"/>
            <w:left w:w="15" w:type="dxa"/>
            <w:bottom w:w="15" w:type="dxa"/>
            <w:right w:w="15"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1"/>
                <w:szCs w:val="21"/>
              </w:rPr>
            </w:pPr>
            <w:r>
              <w:rPr>
                <w:rFonts w:hint="eastAsia" w:ascii="宋体" w:hAnsi="Times New Roman" w:eastAsia="宋体" w:cs="Times New Roman"/>
                <w:color w:val="000000"/>
                <w:sz w:val="20"/>
                <w:szCs w:val="20"/>
              </w:rPr>
              <w:t>行政事业性收费</w:t>
            </w:r>
          </w:p>
        </w:tc>
        <w:tc>
          <w:tcPr>
            <w:tcW w:w="7305" w:type="dxa"/>
            <w:gridSpan w:val="3"/>
            <w:tcBorders>
              <w:top w:val="nil"/>
              <w:left w:val="nil"/>
              <w:bottom w:val="single" w:color="auto" w:sz="8" w:space="0"/>
              <w:right w:val="single" w:color="000000" w:sz="8" w:space="0"/>
            </w:tcBorders>
            <w:noWrap w:val="0"/>
            <w:vAlign w:val="center"/>
          </w:tcPr>
          <w:p>
            <w:pPr>
              <w:spacing w:before="0" w:beforeAutospacing="0" w:after="0" w:afterAutospacing="0"/>
              <w:ind w:left="0" w:right="0"/>
              <w:jc w:val="center"/>
              <w:rPr>
                <w:rFonts w:hint="eastAsia" w:ascii="Calibri" w:hAnsi="Calibri" w:eastAsia="宋体" w:cs="Times New Roman"/>
                <w:sz w:val="21"/>
                <w:szCs w:val="21"/>
                <w:lang w:val="en-US" w:eastAsia="zh-CN"/>
              </w:rPr>
            </w:pPr>
            <w:r>
              <w:rPr>
                <w:rFonts w:hint="eastAsia" w:ascii="Times New Roman" w:hAnsi="Times New Roman" w:eastAsia="楷体" w:cs="Times New Roman"/>
                <w:sz w:val="24"/>
                <w:szCs w:val="18"/>
                <w:lang w:val="en-US" w:eastAsia="zh-CN"/>
              </w:rPr>
              <w:t>0</w:t>
            </w:r>
          </w:p>
        </w:tc>
      </w:tr>
    </w:tbl>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三、收到和处理政府信息公开申请情况</w:t>
      </w:r>
    </w:p>
    <w:tbl>
      <w:tblPr>
        <w:tblStyle w:val="4"/>
        <w:tblW w:w="974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53"/>
        <w:gridCol w:w="921"/>
        <w:gridCol w:w="3272"/>
        <w:gridCol w:w="686"/>
        <w:gridCol w:w="686"/>
        <w:gridCol w:w="686"/>
        <w:gridCol w:w="686"/>
        <w:gridCol w:w="686"/>
        <w:gridCol w:w="686"/>
        <w:gridCol w:w="68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vMerge w:val="restart"/>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eastAsia" w:ascii="楷体_GB2312" w:hAnsi="Times New Roman" w:eastAsia="楷体_GB2312" w:cs="Times New Roman"/>
                <w:sz w:val="20"/>
                <w:szCs w:val="20"/>
              </w:rPr>
            </w:pPr>
            <w:r>
              <w:rPr>
                <w:rFonts w:hint="eastAsia" w:ascii="楷体" w:hAnsi="Times New Roman" w:eastAsia="楷体" w:cs="Times New Roman"/>
                <w:sz w:val="20"/>
                <w:szCs w:val="20"/>
              </w:rPr>
              <w:t>（本列数据的勾稽关系为：第一项加第二项之和，等于第三项加第四项之和）</w:t>
            </w:r>
          </w:p>
        </w:tc>
        <w:tc>
          <w:tcPr>
            <w:tcW w:w="4802" w:type="dxa"/>
            <w:gridSpan w:val="7"/>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申请人情况</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vMerge w:val="continue"/>
            <w:tcBorders>
              <w:top w:val="single" w:color="auto" w:sz="8" w:space="0"/>
              <w:left w:val="single" w:color="auto" w:sz="8" w:space="0"/>
              <w:bottom w:val="single" w:color="auto" w:sz="8" w:space="0"/>
              <w:right w:val="single" w:color="auto" w:sz="8" w:space="0"/>
            </w:tcBorders>
            <w:noWrap w:val="0"/>
            <w:vAlign w:val="center"/>
          </w:tcPr>
          <w:p>
            <w:pPr>
              <w:rPr>
                <w:rFonts w:hAnsi="Times New Roman" w:cs="Times New Roman"/>
              </w:rPr>
            </w:pPr>
          </w:p>
        </w:tc>
        <w:tc>
          <w:tcPr>
            <w:tcW w:w="686" w:type="dxa"/>
            <w:vMerge w:val="restart"/>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自然人</w:t>
            </w:r>
          </w:p>
        </w:tc>
        <w:tc>
          <w:tcPr>
            <w:tcW w:w="3430" w:type="dxa"/>
            <w:gridSpan w:val="5"/>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法人或其他组织</w:t>
            </w:r>
          </w:p>
        </w:tc>
        <w:tc>
          <w:tcPr>
            <w:tcW w:w="686" w:type="dxa"/>
            <w:vMerge w:val="restart"/>
            <w:tcBorders>
              <w:top w:val="single" w:color="auto" w:sz="8" w:space="0"/>
              <w:left w:val="nil"/>
              <w:bottom w:val="inset"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总计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vMerge w:val="continue"/>
            <w:tcBorders>
              <w:top w:val="single" w:color="auto" w:sz="8" w:space="0"/>
              <w:left w:val="single" w:color="auto" w:sz="8" w:space="0"/>
              <w:bottom w:val="single" w:color="auto" w:sz="8" w:space="0"/>
              <w:right w:val="single" w:color="auto" w:sz="8" w:space="0"/>
            </w:tcBorders>
            <w:noWrap w:val="0"/>
            <w:vAlign w:val="center"/>
          </w:tcPr>
          <w:p>
            <w:pPr>
              <w:rPr>
                <w:rFonts w:hAnsi="Times New Roman" w:cs="Times New Roman"/>
              </w:rPr>
            </w:pPr>
          </w:p>
        </w:tc>
        <w:tc>
          <w:tcPr>
            <w:tcW w:w="686" w:type="dxa"/>
            <w:vMerge w:val="continue"/>
            <w:tcBorders>
              <w:top w:val="nil"/>
              <w:left w:val="nil"/>
              <w:bottom w:val="single" w:color="auto" w:sz="8" w:space="0"/>
              <w:right w:val="single" w:color="auto" w:sz="8" w:space="0"/>
            </w:tcBorders>
            <w:noWrap w:val="0"/>
            <w:vAlign w:val="center"/>
          </w:tcPr>
          <w:p>
            <w:pPr>
              <w:rPr>
                <w:rFonts w:hAnsi="Times New Roman" w:cs="Times New Roman"/>
              </w:rPr>
            </w:pP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宋体" w:hAnsi="Times New Roman" w:eastAsia="宋体" w:cs="Times New Roman"/>
                <w:sz w:val="20"/>
                <w:szCs w:val="20"/>
              </w:rPr>
            </w:pPr>
            <w:r>
              <w:rPr>
                <w:rFonts w:hint="eastAsia" w:ascii="宋体" w:hAnsi="Times New Roman" w:eastAsia="宋体" w:cs="Times New Roman"/>
                <w:sz w:val="20"/>
                <w:szCs w:val="20"/>
              </w:rPr>
              <w:t>商业</w:t>
            </w:r>
          </w:p>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企业</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宋体" w:hAnsi="Times New Roman" w:eastAsia="宋体" w:cs="Times New Roman"/>
                <w:sz w:val="20"/>
                <w:szCs w:val="20"/>
              </w:rPr>
            </w:pPr>
            <w:r>
              <w:rPr>
                <w:rFonts w:hint="eastAsia" w:ascii="宋体" w:hAnsi="Times New Roman" w:eastAsia="宋体" w:cs="Times New Roman"/>
                <w:sz w:val="20"/>
                <w:szCs w:val="20"/>
              </w:rPr>
              <w:t>科研</w:t>
            </w:r>
          </w:p>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机构</w:t>
            </w:r>
          </w:p>
        </w:tc>
        <w:tc>
          <w:tcPr>
            <w:tcW w:w="686"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社会公益组织</w:t>
            </w:r>
          </w:p>
        </w:tc>
        <w:tc>
          <w:tcPr>
            <w:tcW w:w="686"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法律服务机构</w:t>
            </w:r>
          </w:p>
        </w:tc>
        <w:tc>
          <w:tcPr>
            <w:tcW w:w="686"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Calibri" w:hAnsi="Calibri" w:cs="Times New Roman"/>
                <w:sz w:val="20"/>
                <w:szCs w:val="20"/>
              </w:rPr>
            </w:pPr>
            <w:r>
              <w:rPr>
                <w:rFonts w:hint="eastAsia" w:ascii="宋体" w:hAnsi="Times New Roman" w:eastAsia="宋体" w:cs="Times New Roman"/>
                <w:sz w:val="20"/>
                <w:szCs w:val="20"/>
              </w:rPr>
              <w:t>其他</w:t>
            </w:r>
          </w:p>
        </w:tc>
        <w:tc>
          <w:tcPr>
            <w:tcW w:w="686" w:type="dxa"/>
            <w:vMerge w:val="continue"/>
            <w:tcBorders>
              <w:top w:val="single" w:color="auto" w:sz="8" w:space="0"/>
              <w:left w:val="nil"/>
              <w:bottom w:val="inset" w:color="auto" w:sz="8" w:space="0"/>
              <w:right w:val="single" w:color="auto" w:sz="8" w:space="0"/>
            </w:tcBorders>
            <w:noWrap w:val="0"/>
            <w:vAlign w:val="center"/>
          </w:tcPr>
          <w:p>
            <w:pPr>
              <w:rPr>
                <w:rFonts w:hAnsi="Times New Roman" w:cs="Times New Roman"/>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0"/>
                <w:szCs w:val="20"/>
              </w:rPr>
            </w:pPr>
            <w:r>
              <w:rPr>
                <w:rFonts w:hint="eastAsia" w:ascii="宋体" w:hAnsi="Times New Roman" w:eastAsia="宋体" w:cs="Times New Roman"/>
                <w:sz w:val="20"/>
                <w:szCs w:val="20"/>
              </w:rPr>
              <w:t>一、本年新收政府信息公开申请数量</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Calibri" w:hAnsi="Calibri" w:eastAsia="宋体" w:cs="Times New Roman"/>
                <w:sz w:val="20"/>
                <w:szCs w:val="20"/>
                <w:lang w:val="en-US" w:eastAsia="zh-CN"/>
              </w:rPr>
            </w:pPr>
            <w:r>
              <w:rPr>
                <w:rFonts w:hint="default"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0"/>
                <w:szCs w:val="20"/>
              </w:rPr>
            </w:pPr>
            <w:r>
              <w:rPr>
                <w:rFonts w:hint="eastAsia" w:ascii="宋体" w:hAnsi="Times New Roman" w:eastAsia="宋体" w:cs="Times New Roman"/>
                <w:sz w:val="20"/>
                <w:szCs w:val="20"/>
              </w:rPr>
              <w:t>二、上年结转政府信息公开申请数量</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restart"/>
            <w:tcBorders>
              <w:top w:val="nil"/>
              <w:left w:val="single" w:color="auto" w:sz="8" w:space="0"/>
              <w:bottom w:val="inset"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三、本年度办理结果</w:t>
            </w:r>
          </w:p>
        </w:tc>
        <w:tc>
          <w:tcPr>
            <w:tcW w:w="4193" w:type="dxa"/>
            <w:gridSpan w:val="2"/>
            <w:tcBorders>
              <w:top w:val="nil"/>
              <w:left w:val="nil"/>
              <w:bottom w:val="single"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（一）予以公开</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4193" w:type="dxa"/>
            <w:gridSpan w:val="2"/>
            <w:tcBorders>
              <w:top w:val="nil"/>
              <w:left w:val="nil"/>
              <w:bottom w:val="single"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（二）部分公开</w:t>
            </w:r>
            <w:r>
              <w:rPr>
                <w:rFonts w:hint="eastAsia" w:ascii="楷体" w:hAnsi="Times New Roman" w:eastAsia="楷体" w:cs="Times New Roman"/>
                <w:sz w:val="20"/>
                <w:szCs w:val="20"/>
              </w:rPr>
              <w:t>（区分处理的，只计这一情形，不计其他情形）</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restart"/>
            <w:tcBorders>
              <w:top w:val="nil"/>
              <w:left w:val="nil"/>
              <w:bottom w:val="inset"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（三）不予公开</w:t>
            </w: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1.属于国家秘密</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single" w:color="auto" w:sz="8" w:space="0"/>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2.其他法律行政法规禁止公开</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3.危及“三安全一稳定”</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4.保护第三方合法权益</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5.属于三类内部事务信息</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6.属于四类过程性信息</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7.属于行政执法案卷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8.属于行政查询事项</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restart"/>
            <w:tcBorders>
              <w:top w:val="nil"/>
              <w:left w:val="nil"/>
              <w:bottom w:val="inset"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（四）无法提供</w:t>
            </w: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1.本机关不掌握相关政府信息</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2.没有现成信息需要另行制作</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3.补正后申请内容仍不明确</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restart"/>
            <w:tcBorders>
              <w:top w:val="nil"/>
              <w:left w:val="nil"/>
              <w:bottom w:val="inset"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（五）不予处理</w:t>
            </w: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1.信访举报投诉类申请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2.重复申请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3.要求提供公开出版物</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top"/>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4.无正当理由大量反复申请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779" w:hRule="atLeast"/>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nil"/>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inset" w:color="auto" w:sz="8" w:space="0"/>
              <w:right w:val="single" w:color="auto" w:sz="8" w:space="0"/>
            </w:tcBorders>
            <w:noWrap w:val="0"/>
            <w:vAlign w:val="center"/>
          </w:tcPr>
          <w:p>
            <w:pPr>
              <w:spacing w:before="0" w:beforeAutospacing="0" w:after="0" w:afterAutospacing="0"/>
              <w:ind w:left="0" w:right="0"/>
              <w:rPr>
                <w:rFonts w:hint="eastAsia" w:ascii="宋体" w:hAnsi="Times New Roman" w:eastAsia="宋体" w:cs="Times New Roman"/>
                <w:sz w:val="20"/>
                <w:szCs w:val="20"/>
              </w:rPr>
            </w:pPr>
            <w:r>
              <w:rPr>
                <w:rFonts w:hint="eastAsia" w:ascii="宋体" w:hAnsi="Times New Roman" w:eastAsia="宋体" w:cs="Times New Roman"/>
                <w:sz w:val="20"/>
                <w:szCs w:val="20"/>
              </w:rPr>
              <w:t>5.要求行政机关确认或重新出具已获取信息</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inset"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restart"/>
            <w:tcBorders>
              <w:top w:val="inset" w:color="auto" w:sz="8" w:space="0"/>
              <w:left w:val="nil"/>
              <w:bottom w:val="inset"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（六）其他处理</w:t>
            </w:r>
          </w:p>
        </w:tc>
        <w:tc>
          <w:tcPr>
            <w:tcW w:w="3272" w:type="dxa"/>
            <w:tcBorders>
              <w:top w:val="nil"/>
              <w:left w:val="nil"/>
              <w:bottom w:val="single" w:color="auto" w:sz="8" w:space="0"/>
              <w:right w:val="single" w:color="auto" w:sz="8" w:space="0"/>
            </w:tcBorders>
            <w:noWrap w:val="0"/>
            <w:vAlign w:val="center"/>
          </w:tcPr>
          <w:p>
            <w:pPr>
              <w:spacing w:before="0" w:beforeAutospacing="0" w:after="0" w:afterAutospacing="0"/>
              <w:ind w:left="0" w:right="0"/>
              <w:rPr>
                <w:rFonts w:hint="eastAsia" w:ascii="宋体" w:hAnsi="Times New Roman" w:eastAsia="宋体" w:cs="Times New Roman"/>
                <w:sz w:val="20"/>
                <w:szCs w:val="20"/>
              </w:rPr>
            </w:pPr>
            <w:r>
              <w:rPr>
                <w:rFonts w:hint="eastAsia" w:ascii="宋体" w:hAnsi="Times New Roman" w:eastAsia="宋体" w:cs="Times New Roman"/>
                <w:sz w:val="20"/>
                <w:szCs w:val="20"/>
              </w:rPr>
              <w:t>1.申请人无正当理由逾期不补正、行政机关不再处理其政府信息公开申请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inset" w:color="auto" w:sz="8" w:space="0"/>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center"/>
          </w:tcPr>
          <w:p>
            <w:pPr>
              <w:spacing w:before="0" w:beforeAutospacing="0" w:after="0" w:afterAutospacing="0"/>
              <w:ind w:left="0" w:right="0"/>
              <w:rPr>
                <w:rFonts w:hint="eastAsia" w:ascii="宋体" w:hAnsi="Times New Roman" w:eastAsia="宋体" w:cs="Times New Roman"/>
                <w:sz w:val="20"/>
                <w:szCs w:val="20"/>
              </w:rPr>
            </w:pPr>
            <w:r>
              <w:rPr>
                <w:rFonts w:hint="eastAsia" w:ascii="宋体" w:hAnsi="Times New Roman" w:eastAsia="宋体" w:cs="Times New Roman"/>
                <w:sz w:val="20"/>
                <w:szCs w:val="20"/>
              </w:rPr>
              <w:t>2.申请人逾期未按收费通知要求缴纳费用、行政机关不再处理其政府信息公开申请</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921" w:type="dxa"/>
            <w:vMerge w:val="continue"/>
            <w:tcBorders>
              <w:top w:val="inset" w:color="auto" w:sz="8" w:space="0"/>
              <w:left w:val="nil"/>
              <w:bottom w:val="inset" w:color="auto" w:sz="8" w:space="0"/>
              <w:right w:val="single" w:color="auto" w:sz="8" w:space="0"/>
            </w:tcBorders>
            <w:noWrap w:val="0"/>
            <w:vAlign w:val="center"/>
          </w:tcPr>
          <w:p>
            <w:pPr>
              <w:rPr>
                <w:rFonts w:hAnsi="Times New Roman" w:cs="Times New Roman"/>
              </w:rPr>
            </w:pPr>
          </w:p>
        </w:tc>
        <w:tc>
          <w:tcPr>
            <w:tcW w:w="3272"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3.其他</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753" w:type="dxa"/>
            <w:vMerge w:val="continue"/>
            <w:tcBorders>
              <w:top w:val="nil"/>
              <w:left w:val="single" w:color="auto" w:sz="8" w:space="0"/>
              <w:bottom w:val="inset" w:color="auto" w:sz="8" w:space="0"/>
              <w:right w:val="single" w:color="auto" w:sz="8" w:space="0"/>
            </w:tcBorders>
            <w:noWrap w:val="0"/>
            <w:vAlign w:val="center"/>
          </w:tcPr>
          <w:p>
            <w:pPr>
              <w:rPr>
                <w:rFonts w:hAnsi="Times New Roman" w:cs="Times New Roman"/>
              </w:rPr>
            </w:pPr>
          </w:p>
        </w:tc>
        <w:tc>
          <w:tcPr>
            <w:tcW w:w="4193" w:type="dxa"/>
            <w:gridSpan w:val="2"/>
            <w:tcBorders>
              <w:top w:val="nil"/>
              <w:left w:val="nil"/>
              <w:bottom w:val="single" w:color="auto" w:sz="8" w:space="0"/>
              <w:right w:val="single" w:color="auto" w:sz="8" w:space="0"/>
            </w:tcBorders>
            <w:noWrap w:val="0"/>
            <w:vAlign w:val="center"/>
          </w:tcPr>
          <w:p>
            <w:pPr>
              <w:spacing w:before="0" w:beforeAutospacing="0" w:after="0" w:afterAutospacing="0"/>
              <w:ind w:left="0" w:right="0"/>
              <w:jc w:val="left"/>
              <w:rPr>
                <w:rFonts w:hint="eastAsia" w:ascii="宋体" w:hAnsi="Times New Roman" w:eastAsia="宋体" w:cs="Times New Roman"/>
                <w:sz w:val="20"/>
                <w:szCs w:val="20"/>
              </w:rPr>
            </w:pPr>
            <w:r>
              <w:rPr>
                <w:rFonts w:hint="eastAsia" w:ascii="宋体" w:hAnsi="Times New Roman" w:eastAsia="宋体" w:cs="Times New Roman"/>
                <w:sz w:val="20"/>
                <w:szCs w:val="20"/>
              </w:rPr>
              <w:t>（七）总计</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4946" w:type="dxa"/>
            <w:gridSpan w:val="3"/>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left"/>
              <w:rPr>
                <w:rFonts w:hint="default" w:ascii="Calibri" w:hAnsi="Calibri" w:cs="Times New Roman"/>
                <w:sz w:val="20"/>
                <w:szCs w:val="20"/>
              </w:rPr>
            </w:pPr>
            <w:r>
              <w:rPr>
                <w:rFonts w:hint="eastAsia" w:ascii="宋体" w:hAnsi="Times New Roman" w:eastAsia="宋体" w:cs="Times New Roman"/>
                <w:sz w:val="20"/>
                <w:szCs w:val="20"/>
              </w:rPr>
              <w:t>四、结转下年度继续办理</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86" w:type="dxa"/>
            <w:tcBorders>
              <w:top w:val="nil"/>
              <w:left w:val="nil"/>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bl>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四、政府信息公开行政复议、行政诉讼情况</w:t>
      </w:r>
    </w:p>
    <w:tbl>
      <w:tblPr>
        <w:tblStyle w:val="4"/>
        <w:tblW w:w="974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649"/>
        <w:gridCol w:w="649"/>
        <w:gridCol w:w="649"/>
        <w:gridCol w:w="649"/>
        <w:gridCol w:w="649"/>
        <w:gridCol w:w="649"/>
        <w:gridCol w:w="649"/>
        <w:gridCol w:w="650"/>
        <w:gridCol w:w="650"/>
        <w:gridCol w:w="650"/>
        <w:gridCol w:w="651"/>
        <w:gridCol w:w="651"/>
        <w:gridCol w:w="651"/>
        <w:gridCol w:w="651"/>
        <w:gridCol w:w="65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3245" w:type="dxa"/>
            <w:gridSpan w:val="5"/>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行政复议</w:t>
            </w:r>
          </w:p>
        </w:tc>
        <w:tc>
          <w:tcPr>
            <w:tcW w:w="6498" w:type="dxa"/>
            <w:gridSpan w:val="10"/>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行政诉讼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649" w:type="dxa"/>
            <w:vMerge w:val="restart"/>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结果维持</w:t>
            </w:r>
          </w:p>
        </w:tc>
        <w:tc>
          <w:tcPr>
            <w:tcW w:w="649" w:type="dxa"/>
            <w:vMerge w:val="restart"/>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纠正</w:t>
            </w:r>
          </w:p>
        </w:tc>
        <w:tc>
          <w:tcPr>
            <w:tcW w:w="649" w:type="dxa"/>
            <w:vMerge w:val="restart"/>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其他</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结果</w:t>
            </w:r>
          </w:p>
        </w:tc>
        <w:tc>
          <w:tcPr>
            <w:tcW w:w="649" w:type="dxa"/>
            <w:vMerge w:val="restart"/>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尚未</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审结</w:t>
            </w:r>
          </w:p>
        </w:tc>
        <w:tc>
          <w:tcPr>
            <w:tcW w:w="649" w:type="dxa"/>
            <w:vMerge w:val="restart"/>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总计</w:t>
            </w:r>
          </w:p>
        </w:tc>
        <w:tc>
          <w:tcPr>
            <w:tcW w:w="3248" w:type="dxa"/>
            <w:gridSpan w:val="5"/>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未经复议直接起诉</w:t>
            </w:r>
          </w:p>
        </w:tc>
        <w:tc>
          <w:tcPr>
            <w:tcW w:w="3250" w:type="dxa"/>
            <w:gridSpan w:val="5"/>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复议后起诉</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649" w:type="dxa"/>
            <w:vMerge w:val="continue"/>
            <w:tcBorders>
              <w:top w:val="nil"/>
              <w:left w:val="single" w:color="auto" w:sz="8" w:space="0"/>
              <w:bottom w:val="single" w:color="auto" w:sz="8" w:space="0"/>
              <w:right w:val="single" w:color="auto" w:sz="8" w:space="0"/>
            </w:tcBorders>
            <w:noWrap w:val="0"/>
            <w:vAlign w:val="center"/>
          </w:tcPr>
          <w:p>
            <w:pPr>
              <w:rPr>
                <w:rFonts w:hAnsi="Times New Roman" w:cs="Times New Roman"/>
              </w:rPr>
            </w:pPr>
          </w:p>
        </w:tc>
        <w:tc>
          <w:tcPr>
            <w:tcW w:w="649" w:type="dxa"/>
            <w:vMerge w:val="continue"/>
            <w:tcBorders>
              <w:top w:val="nil"/>
              <w:left w:val="single" w:color="auto" w:sz="8" w:space="0"/>
              <w:bottom w:val="single" w:color="auto" w:sz="8" w:space="0"/>
              <w:right w:val="single" w:color="auto" w:sz="8" w:space="0"/>
            </w:tcBorders>
            <w:noWrap w:val="0"/>
            <w:vAlign w:val="center"/>
          </w:tcPr>
          <w:p>
            <w:pPr>
              <w:rPr>
                <w:rFonts w:hAnsi="Times New Roman" w:cs="Times New Roman"/>
              </w:rPr>
            </w:pPr>
          </w:p>
        </w:tc>
        <w:tc>
          <w:tcPr>
            <w:tcW w:w="649" w:type="dxa"/>
            <w:vMerge w:val="continue"/>
            <w:tcBorders>
              <w:top w:val="single" w:color="auto" w:sz="8" w:space="0"/>
              <w:left w:val="single" w:color="auto" w:sz="8" w:space="0"/>
              <w:bottom w:val="single" w:color="auto" w:sz="8" w:space="0"/>
              <w:right w:val="single" w:color="auto" w:sz="8" w:space="0"/>
            </w:tcBorders>
            <w:noWrap w:val="0"/>
            <w:vAlign w:val="center"/>
          </w:tcPr>
          <w:p>
            <w:pPr>
              <w:rPr>
                <w:rFonts w:hAnsi="Times New Roman" w:cs="Times New Roman"/>
              </w:rPr>
            </w:pPr>
          </w:p>
        </w:tc>
        <w:tc>
          <w:tcPr>
            <w:tcW w:w="649" w:type="dxa"/>
            <w:vMerge w:val="continue"/>
            <w:tcBorders>
              <w:top w:val="single" w:color="auto" w:sz="8" w:space="0"/>
              <w:left w:val="single" w:color="auto" w:sz="8" w:space="0"/>
              <w:bottom w:val="single" w:color="auto" w:sz="8" w:space="0"/>
              <w:right w:val="single" w:color="auto" w:sz="8" w:space="0"/>
            </w:tcBorders>
            <w:noWrap w:val="0"/>
            <w:vAlign w:val="center"/>
          </w:tcPr>
          <w:p>
            <w:pPr>
              <w:rPr>
                <w:rFonts w:hAnsi="Times New Roman" w:cs="Times New Roman"/>
              </w:rPr>
            </w:pPr>
          </w:p>
        </w:tc>
        <w:tc>
          <w:tcPr>
            <w:tcW w:w="649" w:type="dxa"/>
            <w:vMerge w:val="continue"/>
            <w:tcBorders>
              <w:top w:val="single" w:color="auto" w:sz="8" w:space="0"/>
              <w:left w:val="single" w:color="auto" w:sz="8" w:space="0"/>
              <w:bottom w:val="single" w:color="auto" w:sz="8" w:space="0"/>
              <w:right w:val="single" w:color="auto" w:sz="8" w:space="0"/>
            </w:tcBorders>
            <w:noWrap w:val="0"/>
            <w:vAlign w:val="center"/>
          </w:tcPr>
          <w:p>
            <w:pPr>
              <w:rPr>
                <w:rFonts w:hAnsi="Times New Roman" w:cs="Times New Roman"/>
              </w:rPr>
            </w:pP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维持</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纠正</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其他</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结果</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尚未</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审结</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color w:val="000000"/>
                <w:sz w:val="20"/>
                <w:szCs w:val="20"/>
              </w:rPr>
              <w:t>总计</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维持</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结果</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纠正</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color w:val="000000"/>
                <w:sz w:val="20"/>
                <w:szCs w:val="20"/>
              </w:rPr>
              <w:t>其他</w:t>
            </w:r>
            <w:r>
              <w:rPr>
                <w:rFonts w:hint="eastAsia" w:ascii="宋体" w:hAnsi="Times New Roman" w:eastAsia="宋体" w:cs="Times New Roman"/>
                <w:color w:val="000000"/>
                <w:sz w:val="20"/>
                <w:szCs w:val="20"/>
              </w:rPr>
              <w:br w:type="textWrapping"/>
            </w:r>
            <w:r>
              <w:rPr>
                <w:rFonts w:hint="eastAsia" w:ascii="宋体" w:hAnsi="Times New Roman" w:eastAsia="宋体" w:cs="Times New Roman"/>
                <w:color w:val="000000"/>
                <w:sz w:val="20"/>
                <w:szCs w:val="20"/>
              </w:rPr>
              <w:t>结果</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sz w:val="20"/>
                <w:szCs w:val="20"/>
              </w:rPr>
              <w:t>尚未</w:t>
            </w:r>
            <w:r>
              <w:rPr>
                <w:rFonts w:hint="eastAsia" w:ascii="宋体" w:hAnsi="Times New Roman" w:eastAsia="宋体" w:cs="Times New Roman"/>
                <w:sz w:val="20"/>
                <w:szCs w:val="20"/>
              </w:rPr>
              <w:br w:type="textWrapping"/>
            </w:r>
            <w:r>
              <w:rPr>
                <w:rFonts w:hint="eastAsia" w:ascii="宋体" w:hAnsi="Times New Roman" w:eastAsia="宋体" w:cs="Times New Roman"/>
                <w:sz w:val="20"/>
                <w:szCs w:val="20"/>
              </w:rPr>
              <w:t>审结</w:t>
            </w:r>
          </w:p>
        </w:tc>
        <w:tc>
          <w:tcPr>
            <w:tcW w:w="650" w:type="dxa"/>
            <w:tcBorders>
              <w:top w:val="single" w:color="auto" w:sz="8" w:space="0"/>
              <w:left w:val="single" w:color="auto" w:sz="8" w:space="0"/>
              <w:bottom w:val="single" w:color="auto" w:sz="8" w:space="0"/>
              <w:right w:val="single" w:color="auto" w:sz="8" w:space="0"/>
            </w:tcBorders>
            <w:noWrap w:val="0"/>
            <w:vAlign w:val="center"/>
          </w:tcPr>
          <w:p>
            <w:pPr>
              <w:spacing w:before="0" w:beforeAutospacing="0" w:after="0" w:afterAutospacing="0"/>
              <w:ind w:left="0" w:right="0" w:firstLine="0"/>
              <w:jc w:val="center"/>
              <w:rPr>
                <w:rFonts w:hint="eastAsia" w:ascii="黑体" w:hAnsi="Times New Roman" w:eastAsia="黑体" w:cs="Times New Roman"/>
                <w:sz w:val="20"/>
                <w:szCs w:val="20"/>
              </w:rPr>
            </w:pPr>
            <w:r>
              <w:rPr>
                <w:rFonts w:hint="eastAsia" w:ascii="宋体" w:hAnsi="Times New Roman" w:eastAsia="宋体" w:cs="Times New Roman"/>
                <w:color w:val="000000"/>
                <w:sz w:val="20"/>
                <w:szCs w:val="20"/>
              </w:rPr>
              <w:t>总计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672" w:hRule="atLeast"/>
          <w:jc w:val="center"/>
        </w:trPr>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49"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eastAsia"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c>
          <w:tcPr>
            <w:tcW w:w="650" w:type="dxa"/>
            <w:tcBorders>
              <w:top w:val="nil"/>
              <w:left w:val="single" w:color="auto" w:sz="8" w:space="0"/>
              <w:bottom w:val="single" w:color="auto" w:sz="8" w:space="0"/>
              <w:right w:val="single" w:color="auto" w:sz="8" w:space="0"/>
            </w:tcBorders>
            <w:noWrap w:val="0"/>
            <w:vAlign w:val="center"/>
          </w:tcPr>
          <w:p>
            <w:pPr>
              <w:spacing w:before="0" w:beforeAutospacing="0" w:after="0" w:afterAutospacing="0"/>
              <w:ind w:left="0" w:right="0"/>
              <w:jc w:val="center"/>
              <w:rPr>
                <w:rFonts w:hint="default" w:ascii="Times New Roman" w:hAnsi="Times New Roman" w:eastAsia="楷体" w:cs="Times New Roman"/>
                <w:sz w:val="24"/>
                <w:szCs w:val="18"/>
                <w:lang w:val="en-US" w:eastAsia="zh-CN"/>
              </w:rPr>
            </w:pPr>
            <w:r>
              <w:rPr>
                <w:rFonts w:hint="eastAsia" w:ascii="Times New Roman" w:hAnsi="Times New Roman" w:eastAsia="楷体" w:cs="Times New Roman"/>
                <w:sz w:val="24"/>
                <w:szCs w:val="18"/>
                <w:lang w:val="en-US" w:eastAsia="zh-CN"/>
              </w:rPr>
              <w:t>0</w:t>
            </w:r>
          </w:p>
        </w:tc>
      </w:tr>
    </w:tbl>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五、存在的主要问题及改进情况</w:t>
      </w:r>
    </w:p>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lang w:eastAsia="zh-CN"/>
        </w:rPr>
      </w:pPr>
      <w:r>
        <w:rPr>
          <w:rFonts w:hint="eastAsia" w:ascii="宋体" w:hAnsi="Times New Roman" w:eastAsia="宋体" w:cs="Times New Roman"/>
          <w:color w:val="333333"/>
          <w:spacing w:val="0"/>
          <w:sz w:val="24"/>
          <w:szCs w:val="24"/>
        </w:rPr>
        <w:t>2021年，我</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政府信息公开工作稳步推进，成效明显，但与上级的要求</w:t>
      </w:r>
      <w:r>
        <w:rPr>
          <w:rFonts w:hint="eastAsia" w:cs="Times New Roman"/>
          <w:color w:val="333333"/>
          <w:spacing w:val="0"/>
          <w:sz w:val="24"/>
          <w:szCs w:val="24"/>
          <w:lang w:eastAsia="zh-CN"/>
        </w:rPr>
        <w:t>和</w:t>
      </w:r>
      <w:r>
        <w:rPr>
          <w:rFonts w:hint="eastAsia" w:ascii="宋体" w:hAnsi="Times New Roman" w:eastAsia="宋体" w:cs="Times New Roman"/>
          <w:color w:val="333333"/>
          <w:spacing w:val="0"/>
          <w:sz w:val="24"/>
          <w:szCs w:val="24"/>
        </w:rPr>
        <w:t>公众</w:t>
      </w:r>
      <w:r>
        <w:rPr>
          <w:rFonts w:hint="eastAsia" w:cs="Times New Roman"/>
          <w:color w:val="333333"/>
          <w:spacing w:val="0"/>
          <w:sz w:val="24"/>
          <w:szCs w:val="24"/>
          <w:lang w:eastAsia="zh-CN"/>
        </w:rPr>
        <w:t>的</w:t>
      </w:r>
      <w:r>
        <w:rPr>
          <w:rFonts w:hint="eastAsia" w:ascii="宋体" w:hAnsi="Times New Roman" w:eastAsia="宋体" w:cs="Times New Roman"/>
          <w:color w:val="333333"/>
          <w:spacing w:val="0"/>
          <w:sz w:val="24"/>
          <w:szCs w:val="24"/>
        </w:rPr>
        <w:t>期望相比，还存在一些短板和不足，主要表现：一是政策解读形式不够灵活多样，缺少创新</w:t>
      </w:r>
      <w:r>
        <w:rPr>
          <w:rFonts w:hint="eastAsia" w:cs="Times New Roman"/>
          <w:color w:val="333333"/>
          <w:spacing w:val="0"/>
          <w:sz w:val="24"/>
          <w:szCs w:val="24"/>
          <w:lang w:eastAsia="zh-CN"/>
        </w:rPr>
        <w:t>；</w:t>
      </w:r>
      <w:r>
        <w:rPr>
          <w:rFonts w:hint="eastAsia" w:ascii="宋体" w:hAnsi="Times New Roman" w:eastAsia="宋体" w:cs="Times New Roman"/>
          <w:color w:val="333333"/>
          <w:spacing w:val="0"/>
          <w:sz w:val="24"/>
          <w:szCs w:val="24"/>
        </w:rPr>
        <w:t>二是本部门意见征集的信息较少，有待进一步规范和完善</w:t>
      </w:r>
      <w:r>
        <w:rPr>
          <w:rFonts w:hint="eastAsia" w:cs="Times New Roman"/>
          <w:color w:val="333333"/>
          <w:spacing w:val="0"/>
          <w:sz w:val="24"/>
          <w:szCs w:val="24"/>
          <w:lang w:eastAsia="zh-CN"/>
        </w:rPr>
        <w:t>；三是</w:t>
      </w:r>
      <w:r>
        <w:rPr>
          <w:rFonts w:hint="eastAsia" w:ascii="宋体" w:hAnsi="Times New Roman" w:eastAsia="宋体" w:cs="Times New Roman"/>
          <w:color w:val="333333"/>
          <w:spacing w:val="0"/>
          <w:sz w:val="24"/>
          <w:szCs w:val="24"/>
        </w:rPr>
        <w:t>信息发布不及时，公开内容还不够全面</w:t>
      </w:r>
      <w:r>
        <w:rPr>
          <w:rFonts w:hint="eastAsia" w:cs="Times New Roman"/>
          <w:color w:val="333333"/>
          <w:spacing w:val="0"/>
          <w:sz w:val="24"/>
          <w:szCs w:val="24"/>
          <w:lang w:eastAsia="zh-CN"/>
        </w:rPr>
        <w:t>；四是</w:t>
      </w:r>
      <w:r>
        <w:rPr>
          <w:rFonts w:hint="eastAsia" w:ascii="宋体" w:hAnsi="Times New Roman" w:eastAsia="宋体" w:cs="Times New Roman"/>
          <w:color w:val="333333"/>
          <w:spacing w:val="0"/>
          <w:sz w:val="24"/>
          <w:szCs w:val="24"/>
        </w:rPr>
        <w:t>监督制约机制还有待于进一步健全完善</w:t>
      </w:r>
      <w:r>
        <w:rPr>
          <w:rFonts w:hint="eastAsia" w:cs="Times New Roman"/>
          <w:color w:val="333333"/>
          <w:spacing w:val="0"/>
          <w:sz w:val="24"/>
          <w:szCs w:val="24"/>
          <w:lang w:eastAsia="zh-CN"/>
        </w:rPr>
        <w:t>。</w:t>
      </w:r>
    </w:p>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下一步，我</w:t>
      </w:r>
      <w:r>
        <w:rPr>
          <w:rFonts w:hint="eastAsia" w:cs="Times New Roman"/>
          <w:color w:val="333333"/>
          <w:spacing w:val="0"/>
          <w:sz w:val="24"/>
          <w:szCs w:val="24"/>
          <w:lang w:eastAsia="zh-CN"/>
        </w:rPr>
        <w:t>局</w:t>
      </w:r>
      <w:r>
        <w:rPr>
          <w:rFonts w:hint="eastAsia" w:ascii="宋体" w:hAnsi="Times New Roman" w:eastAsia="宋体" w:cs="Times New Roman"/>
          <w:color w:val="333333"/>
          <w:spacing w:val="0"/>
          <w:sz w:val="24"/>
          <w:szCs w:val="24"/>
        </w:rPr>
        <w:t>将从以下方面改进工作：一是组织人员参加专项培训，学习先进经验，提升专业技能，丰富解读形式，增强解读趣味性、深度和广度。二是在市卫健委和</w:t>
      </w:r>
      <w:r>
        <w:rPr>
          <w:rFonts w:hint="eastAsia" w:cs="Times New Roman"/>
          <w:color w:val="333333"/>
          <w:spacing w:val="0"/>
          <w:sz w:val="24"/>
          <w:szCs w:val="24"/>
          <w:lang w:eastAsia="zh-CN"/>
        </w:rPr>
        <w:t>县</w:t>
      </w:r>
      <w:r>
        <w:rPr>
          <w:rFonts w:hint="eastAsia" w:ascii="宋体" w:hAnsi="Times New Roman" w:eastAsia="宋体" w:cs="Times New Roman"/>
          <w:color w:val="333333"/>
          <w:spacing w:val="0"/>
          <w:sz w:val="24"/>
          <w:szCs w:val="24"/>
        </w:rPr>
        <w:t>政府办的指导下，</w:t>
      </w:r>
      <w:r>
        <w:rPr>
          <w:rFonts w:hint="eastAsia" w:cs="Times New Roman"/>
          <w:color w:val="333333"/>
          <w:spacing w:val="0"/>
          <w:sz w:val="24"/>
          <w:szCs w:val="24"/>
          <w:lang w:eastAsia="zh-CN"/>
        </w:rPr>
        <w:t>完善监督制约机制，</w:t>
      </w:r>
      <w:r>
        <w:rPr>
          <w:rFonts w:hint="eastAsia" w:ascii="宋体" w:hAnsi="Times New Roman" w:eastAsia="宋体" w:cs="Times New Roman"/>
          <w:color w:val="333333"/>
          <w:spacing w:val="0"/>
          <w:sz w:val="24"/>
          <w:szCs w:val="24"/>
        </w:rPr>
        <w:t>查缺补漏，强化短板，增强政务公开专业性，促使政务公开工作再上新台阶。</w:t>
      </w:r>
      <w:r>
        <w:rPr>
          <w:rFonts w:hint="eastAsia" w:cs="Times New Roman"/>
          <w:color w:val="333333"/>
          <w:spacing w:val="0"/>
          <w:sz w:val="24"/>
          <w:szCs w:val="24"/>
          <w:lang w:eastAsia="zh-CN"/>
        </w:rPr>
        <w:t>三是</w:t>
      </w:r>
      <w:r>
        <w:rPr>
          <w:rFonts w:hint="eastAsia" w:ascii="宋体" w:hAnsi="Times New Roman" w:eastAsia="宋体" w:cs="Times New Roman"/>
          <w:color w:val="333333"/>
          <w:spacing w:val="0"/>
          <w:sz w:val="24"/>
          <w:szCs w:val="24"/>
        </w:rPr>
        <w:t>进一步完善信息公开目录，细化信息公开分类，畅通信息公开渠道，充分利用好政府网站这一平台，进一步推进政务公开化，切实提高办事透明度，努力提高政府行政效能和公信力，为公众提供更加便利的服务</w:t>
      </w:r>
    </w:p>
    <w:p>
      <w:pPr>
        <w:pStyle w:val="3"/>
        <w:shd w:val="clear" w:color="auto" w:fill="FFFFFF"/>
        <w:spacing w:before="0" w:beforeAutospacing="0" w:after="0" w:afterAutospacing="0"/>
        <w:ind w:left="0" w:right="0" w:firstLine="480"/>
        <w:rPr>
          <w:rFonts w:hint="eastAsia" w:ascii="宋体" w:hAnsi="Times New Roman" w:eastAsia="宋体" w:cs="Times New Roman"/>
          <w:color w:val="333333"/>
          <w:spacing w:val="0"/>
          <w:sz w:val="24"/>
          <w:szCs w:val="24"/>
        </w:rPr>
      </w:pPr>
      <w:r>
        <w:rPr>
          <w:rFonts w:hint="eastAsia" w:ascii="宋体" w:hAnsi="Times New Roman" w:eastAsia="宋体" w:cs="Times New Roman"/>
          <w:b/>
          <w:bCs/>
          <w:color w:val="333333"/>
          <w:spacing w:val="0"/>
          <w:sz w:val="24"/>
          <w:szCs w:val="24"/>
        </w:rPr>
        <w:t>六、其他需要报告的事项</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Times New Roman" w:eastAsia="宋体" w:cs="Times New Roman"/>
          <w:color w:val="333333"/>
          <w:spacing w:val="0"/>
          <w:sz w:val="24"/>
          <w:szCs w:val="24"/>
        </w:rPr>
      </w:pPr>
      <w:r>
        <w:rPr>
          <w:rFonts w:hint="eastAsia" w:ascii="宋体" w:hAnsi="Times New Roman" w:eastAsia="宋体" w:cs="Times New Roman"/>
          <w:color w:val="333333"/>
          <w:spacing w:val="0"/>
          <w:sz w:val="24"/>
          <w:szCs w:val="24"/>
        </w:rPr>
        <w:t>按照《国务院办公厅关于印发〈政府信息公开信息处理费管理办法〉的通知》（国办函〔2020〕109号）规定的按件、按量收费标准，本年度没有产生信息公开处理费。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F4F07"/>
    <w:rsid w:val="3D8F4F07"/>
    <w:rsid w:val="435E0481"/>
    <w:rsid w:val="549463D3"/>
    <w:rsid w:val="6B27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240" w:lineRule="auto"/>
      <w:jc w:val="left"/>
    </w:pPr>
    <w:rPr>
      <w:rFonts w:ascii="宋体" w:hAnsi="Times New Roman" w:eastAsia="宋体" w:cs="Times New Roman"/>
      <w:kern w:val="2"/>
      <w:sz w:val="24"/>
      <w:szCs w:val="21"/>
      <w:lang w:val="en-US"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eader"/>
    <w:qFormat/>
    <w:uiPriority w:val="0"/>
    <w:pPr>
      <w:widowControl w:val="0"/>
      <w:pBdr>
        <w:bottom w:val="single" w:color="auto" w:sz="6" w:space="1"/>
      </w:pBdr>
      <w:tabs>
        <w:tab w:val="center" w:pos="4153"/>
        <w:tab w:val="right" w:pos="8307"/>
      </w:tabs>
      <w:snapToGrid w:val="0"/>
      <w:spacing w:line="240" w:lineRule="auto"/>
      <w:jc w:val="center"/>
    </w:pPr>
    <w:rPr>
      <w:rFonts w:ascii="宋体" w:hAnsi="Times New Roman" w:eastAsia="宋体" w:cs="Times New Roman"/>
      <w:kern w:val="2"/>
      <w:sz w:val="18"/>
      <w:szCs w:val="21"/>
      <w:lang w:val="en-US" w:eastAsia="zh-CN"/>
    </w:rPr>
  </w:style>
  <w:style w:type="paragraph" w:styleId="3">
    <w:name w:val="Normal (Web)"/>
    <w:next w:val="2"/>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jc w:val="left"/>
      <w:textAlignment w:val="auto"/>
      <w:outlineLvl w:val="9"/>
    </w:pPr>
    <w:rPr>
      <w:rFonts w:ascii="宋体" w:hAnsi="Times New Roman" w:eastAsia="宋体" w:cs="Times New Roman"/>
      <w:snapToGrid/>
      <w:color w:val="auto"/>
      <w:spacing w:val="0"/>
      <w:w w:val="100"/>
      <w:kern w:val="0"/>
      <w:position w:val="0"/>
      <w:sz w:val="24"/>
      <w:szCs w:val="21"/>
      <w:u w:val="none" w:color="auto"/>
      <w:vertAlign w:val="baseline"/>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2022-01-21T07:00:00Z</dcterms:created>
  <dc:creator>请叫我小迷糊</dc:creator>
  <cp:lastModifiedBy>请叫我小迷糊</cp:lastModifiedBy>
  <cp:lastPrinted>2022-01-21T08:27:00Z</cp:lastPrinted>
  <dcterms:modified xsi:type="dcterms:W3CDTF">2022-01-21T08:57:28Z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