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关于2024年怀来县预算公开有关事项的说明</w:t>
      </w:r>
    </w:p>
    <w:p>
      <w:pPr>
        <w:spacing w:line="560" w:lineRule="exact"/>
        <w:jc w:val="center"/>
        <w:rPr>
          <w:rFonts w:ascii="方正小标宋_GBK" w:hAnsi="方正小标宋_GBK" w:eastAsia="方正小标宋_GBK" w:cs="方正小标宋_GBK"/>
          <w:sz w:val="44"/>
          <w:szCs w:val="44"/>
        </w:rPr>
      </w:pPr>
    </w:p>
    <w:p>
      <w:pPr>
        <w:numPr>
          <w:ilvl w:val="0"/>
          <w:numId w:val="1"/>
        </w:numPr>
        <w:spacing w:line="560" w:lineRule="exact"/>
        <w:jc w:val="left"/>
        <w:rPr>
          <w:rFonts w:ascii="黑体" w:hAnsi="黑体" w:eastAsia="黑体" w:cs="黑体"/>
          <w:sz w:val="36"/>
          <w:szCs w:val="36"/>
        </w:rPr>
      </w:pPr>
      <w:r>
        <w:rPr>
          <w:rFonts w:hint="eastAsia" w:ascii="黑体" w:hAnsi="黑体" w:eastAsia="黑体" w:cs="黑体"/>
          <w:sz w:val="36"/>
          <w:szCs w:val="36"/>
        </w:rPr>
        <w:t>县级财政性资金安排“三公”经费预算情况</w:t>
      </w:r>
    </w:p>
    <w:p>
      <w:pPr>
        <w:spacing w:line="560" w:lineRule="exact"/>
        <w:ind w:firstLine="632" w:firstLineChars="200"/>
        <w:rPr>
          <w:rFonts w:ascii="仿宋_GB2312" w:hAnsi="Verdana"/>
          <w:szCs w:val="32"/>
        </w:rPr>
      </w:pPr>
      <w:r>
        <w:rPr>
          <w:rFonts w:hint="eastAsia" w:ascii="仿宋_GB2312" w:hAnsi="Verdana"/>
          <w:szCs w:val="32"/>
        </w:rPr>
        <w:t>按照财政厅报告和公开口径，2024年县级“三公”经费预算安排1441.5万元，减少4.4万元，下降0.3%。其中：一般公共预算1441.5万元，减少4.4万元，下降0.3%；政府性基金预算0万元，减少0万元。具体安排情况如下：</w:t>
      </w:r>
    </w:p>
    <w:p>
      <w:pPr>
        <w:spacing w:line="56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（一）因公出国（境）费。</w:t>
      </w:r>
      <w:r>
        <w:rPr>
          <w:rFonts w:hint="eastAsia" w:ascii="仿宋_GB2312" w:hAnsi="Verdana"/>
          <w:szCs w:val="32"/>
        </w:rPr>
        <w:t>因公出国（境）支出预算30万元，（其中：一般公共预算30万元）。</w:t>
      </w:r>
    </w:p>
    <w:p>
      <w:pPr>
        <w:spacing w:line="560" w:lineRule="exact"/>
        <w:ind w:firstLine="632" w:firstLineChars="200"/>
        <w:rPr>
          <w:rFonts w:ascii="仿宋_GB2312" w:hAnsi="Verdana"/>
          <w:szCs w:val="32"/>
        </w:rPr>
      </w:pPr>
      <w:r>
        <w:rPr>
          <w:rFonts w:hint="eastAsia" w:ascii="楷体_GB2312" w:hAnsi="楷体_GB2312" w:eastAsia="楷体_GB2312" w:cs="楷体_GB2312"/>
          <w:szCs w:val="32"/>
        </w:rPr>
        <w:t>（二）公务用车购置及运行费。</w:t>
      </w:r>
      <w:r>
        <w:rPr>
          <w:rFonts w:hint="eastAsia" w:ascii="仿宋_GB2312" w:hAnsi="仿宋_GB2312" w:cs="仿宋_GB2312"/>
          <w:szCs w:val="32"/>
        </w:rPr>
        <w:t>安排607.2万元，减少0.8万元，下降0.1%。</w:t>
      </w:r>
      <w:r>
        <w:rPr>
          <w:rFonts w:hint="eastAsia" w:ascii="仿宋_GB2312" w:hAnsi="Verdana"/>
          <w:szCs w:val="32"/>
        </w:rPr>
        <w:t>其中：公务用车购置费126万元，与上年预算持平，公务用车运行维护费481.2万元,比上年预算减少0.8万元，下降0.2%。</w:t>
      </w:r>
    </w:p>
    <w:p>
      <w:pPr>
        <w:spacing w:line="560" w:lineRule="exact"/>
        <w:ind w:firstLine="632" w:firstLineChars="200"/>
        <w:rPr>
          <w:rFonts w:ascii="仿宋_GB2312" w:hAnsi="Verdana"/>
          <w:szCs w:val="32"/>
        </w:rPr>
      </w:pPr>
      <w:r>
        <w:rPr>
          <w:rFonts w:hint="eastAsia" w:ascii="楷体_GB2312" w:hAnsi="楷体_GB2312" w:eastAsia="楷体_GB2312" w:cs="楷体_GB2312"/>
          <w:szCs w:val="32"/>
        </w:rPr>
        <w:t>（三）公务接待费。</w:t>
      </w:r>
      <w:r>
        <w:rPr>
          <w:rFonts w:hint="eastAsia" w:ascii="仿宋_GB2312" w:hAnsi="Verdana"/>
          <w:szCs w:val="32"/>
        </w:rPr>
        <w:t>安排804.3万元，比上年预算减少3.6万元，下降0.4%。（主要是落实中央八项规定，进一步落实厉行节俭各项措施，严格控制三公经费支出）。</w:t>
      </w:r>
    </w:p>
    <w:p>
      <w:pPr>
        <w:rPr>
          <w:rFonts w:ascii="黑体" w:hAnsi="黑体" w:eastAsia="黑体" w:cs="黑体"/>
          <w:sz w:val="36"/>
          <w:szCs w:val="36"/>
        </w:rPr>
      </w:pPr>
      <w:r>
        <w:rPr>
          <w:rFonts w:hint="eastAsia" w:ascii="黑体" w:hAnsi="黑体" w:eastAsia="黑体" w:cs="黑体"/>
          <w:sz w:val="36"/>
          <w:szCs w:val="36"/>
        </w:rPr>
        <w:br w:type="page"/>
      </w:r>
    </w:p>
    <w:p>
      <w:pPr>
        <w:spacing w:line="560" w:lineRule="exact"/>
        <w:jc w:val="left"/>
        <w:rPr>
          <w:rFonts w:ascii="黑体" w:hAnsi="黑体" w:eastAsia="黑体" w:cs="黑体"/>
          <w:sz w:val="36"/>
          <w:szCs w:val="36"/>
        </w:rPr>
      </w:pPr>
      <w:r>
        <w:rPr>
          <w:rFonts w:hint="eastAsia" w:ascii="黑体" w:hAnsi="黑体" w:eastAsia="黑体" w:cs="黑体"/>
          <w:sz w:val="36"/>
          <w:szCs w:val="36"/>
        </w:rPr>
        <w:t>二、2023政府债务情况及2024年债务预算情况说明</w:t>
      </w:r>
    </w:p>
    <w:p>
      <w:pPr>
        <w:spacing w:line="560" w:lineRule="exact"/>
        <w:ind w:firstLine="632" w:firstLineChars="200"/>
        <w:rPr>
          <w:rFonts w:ascii="仿宋_GB2312" w:hAnsi="Verdana"/>
          <w:szCs w:val="32"/>
        </w:rPr>
      </w:pPr>
      <w:r>
        <w:rPr>
          <w:rFonts w:hint="eastAsia" w:ascii="仿宋_GB2312" w:hAnsi="Verdana"/>
          <w:szCs w:val="32"/>
        </w:rPr>
        <w:t>（一）2023年政府债务管理情况</w:t>
      </w:r>
    </w:p>
    <w:p>
      <w:pPr>
        <w:spacing w:line="560" w:lineRule="exact"/>
        <w:ind w:firstLine="632" w:firstLineChars="200"/>
        <w:rPr>
          <w:rFonts w:ascii="仿宋_GB2312" w:hAnsi="Verdana"/>
          <w:szCs w:val="32"/>
        </w:rPr>
      </w:pPr>
      <w:r>
        <w:rPr>
          <w:rFonts w:hint="eastAsia" w:ascii="仿宋_GB2312" w:hAnsi="Verdana"/>
          <w:szCs w:val="32"/>
        </w:rPr>
        <w:t>截至2023年底，我县地方政府债务余额为93.26亿元。其中一般债务22.01亿元，专项债务71.25亿元。</w:t>
      </w:r>
    </w:p>
    <w:p>
      <w:pPr>
        <w:spacing w:line="560" w:lineRule="exact"/>
        <w:ind w:firstLine="632" w:firstLineChars="200"/>
        <w:rPr>
          <w:rFonts w:ascii="仿宋_GB2312" w:hAnsi="Verdana"/>
          <w:szCs w:val="32"/>
        </w:rPr>
      </w:pPr>
      <w:r>
        <w:rPr>
          <w:rFonts w:hint="eastAsia" w:ascii="仿宋_GB2312" w:hAnsi="Verdana"/>
          <w:szCs w:val="32"/>
        </w:rPr>
        <w:t>1.当年收支情况</w:t>
      </w:r>
    </w:p>
    <w:p>
      <w:pPr>
        <w:spacing w:line="560" w:lineRule="exact"/>
        <w:ind w:firstLine="632" w:firstLineChars="200"/>
        <w:rPr>
          <w:rFonts w:ascii="仿宋_GB2312" w:hAnsi="Verdana"/>
          <w:szCs w:val="32"/>
        </w:rPr>
      </w:pPr>
      <w:r>
        <w:rPr>
          <w:rFonts w:hint="eastAsia" w:ascii="仿宋_GB2312" w:hAnsi="Verdana"/>
          <w:szCs w:val="32"/>
        </w:rPr>
        <w:t>2023年共发行政府新增债券19.1亿元，其中一般债券1.41亿元，专项债券17.69亿元。</w:t>
      </w:r>
    </w:p>
    <w:p>
      <w:pPr>
        <w:spacing w:line="560" w:lineRule="exact"/>
        <w:ind w:firstLine="632" w:firstLineChars="200"/>
        <w:rPr>
          <w:rFonts w:ascii="仿宋_GB2312" w:hAnsi="Verdana"/>
          <w:szCs w:val="32"/>
        </w:rPr>
      </w:pPr>
      <w:r>
        <w:rPr>
          <w:rFonts w:hint="eastAsia" w:ascii="仿宋_GB2312" w:hAnsi="Verdana"/>
          <w:szCs w:val="32"/>
        </w:rPr>
        <w:t>当年债券还本6.86亿元，其中一般债券0.13亿元，专项债券6.73亿元。</w:t>
      </w:r>
    </w:p>
    <w:p>
      <w:pPr>
        <w:spacing w:line="560" w:lineRule="exact"/>
        <w:ind w:firstLine="632" w:firstLineChars="200"/>
        <w:rPr>
          <w:rFonts w:ascii="仿宋_GB2312" w:hAnsi="Verdana"/>
          <w:szCs w:val="32"/>
        </w:rPr>
      </w:pPr>
      <w:r>
        <w:rPr>
          <w:rFonts w:hint="eastAsia" w:ascii="仿宋_GB2312" w:hAnsi="Verdana"/>
          <w:szCs w:val="32"/>
        </w:rPr>
        <w:t>当年债券付息2.89亿元，其中一般债券0.78亿元，专项债券2.11亿元。</w:t>
      </w:r>
    </w:p>
    <w:p>
      <w:pPr>
        <w:spacing w:line="560" w:lineRule="exact"/>
        <w:ind w:firstLine="632" w:firstLineChars="200"/>
        <w:rPr>
          <w:rFonts w:ascii="仿宋_GB2312" w:hAnsi="Verdana"/>
          <w:szCs w:val="32"/>
        </w:rPr>
      </w:pPr>
      <w:r>
        <w:rPr>
          <w:rFonts w:hint="eastAsia" w:ascii="仿宋_GB2312" w:hAnsi="Verdana"/>
          <w:szCs w:val="32"/>
        </w:rPr>
        <w:t>2.地方政府债券支出使用情况</w:t>
      </w:r>
    </w:p>
    <w:p>
      <w:pPr>
        <w:spacing w:line="560" w:lineRule="exact"/>
        <w:ind w:firstLine="632" w:firstLineChars="200"/>
        <w:rPr>
          <w:rFonts w:ascii="仿宋_GB2312" w:hAnsi="Verdana"/>
          <w:szCs w:val="32"/>
        </w:rPr>
      </w:pPr>
      <w:r>
        <w:rPr>
          <w:rFonts w:hint="eastAsia" w:ascii="仿宋_GB2312" w:hAnsi="Verdana"/>
          <w:szCs w:val="32"/>
        </w:rPr>
        <w:t>我县所有债券财政拨付进度均达到100%，无债券资金结转结余在财政情况发生。</w:t>
      </w:r>
    </w:p>
    <w:p>
      <w:pPr>
        <w:spacing w:line="560" w:lineRule="exact"/>
        <w:ind w:firstLine="632" w:firstLineChars="200"/>
        <w:rPr>
          <w:rFonts w:ascii="仿宋_GB2312" w:hAnsi="Verdana"/>
          <w:szCs w:val="32"/>
        </w:rPr>
      </w:pPr>
      <w:r>
        <w:rPr>
          <w:rFonts w:hint="eastAsia" w:ascii="仿宋_GB2312" w:hAnsi="Verdana"/>
          <w:szCs w:val="32"/>
        </w:rPr>
        <w:t>（二）2024年债务预算情况</w:t>
      </w:r>
    </w:p>
    <w:p>
      <w:pPr>
        <w:spacing w:line="560" w:lineRule="exact"/>
        <w:ind w:firstLine="632" w:firstLineChars="200"/>
        <w:rPr>
          <w:rFonts w:ascii="仿宋_GB2312" w:hAnsi="Verdana"/>
          <w:szCs w:val="32"/>
        </w:rPr>
      </w:pPr>
      <w:r>
        <w:rPr>
          <w:rFonts w:hint="eastAsia" w:ascii="仿宋_GB2312" w:hAnsi="Verdana"/>
          <w:szCs w:val="32"/>
        </w:rPr>
        <w:t>根据省财政厅地方政府债券管理系统数据，以2023年地方政府债券付息额为基数，各项预算如下：</w:t>
      </w:r>
    </w:p>
    <w:p>
      <w:pPr>
        <w:spacing w:line="560" w:lineRule="exact"/>
        <w:ind w:firstLine="632" w:firstLineChars="200"/>
        <w:rPr>
          <w:rFonts w:ascii="仿宋_GB2312" w:hAnsi="Verdana"/>
          <w:szCs w:val="32"/>
        </w:rPr>
      </w:pPr>
      <w:r>
        <w:rPr>
          <w:rFonts w:hint="eastAsia" w:ascii="仿宋_GB2312" w:hAnsi="Verdana"/>
          <w:szCs w:val="32"/>
        </w:rPr>
        <w:t>2024年政府债券还本预算6.948亿元，其中一般债券0.598亿元，专项债券6.35亿元。</w:t>
      </w:r>
    </w:p>
    <w:p>
      <w:pPr>
        <w:spacing w:line="560" w:lineRule="exact"/>
        <w:ind w:firstLine="632" w:firstLineChars="200"/>
        <w:rPr>
          <w:rFonts w:ascii="仿宋_GB2312" w:hAnsi="Verdana"/>
          <w:szCs w:val="32"/>
        </w:rPr>
      </w:pPr>
      <w:r>
        <w:rPr>
          <w:rFonts w:hint="eastAsia" w:ascii="仿宋_GB2312" w:hAnsi="Verdana"/>
          <w:szCs w:val="32"/>
        </w:rPr>
        <w:t>2024年政府债券付息预算3.45亿元，其中一般债券0.843亿元，专项债券2.607亿元。</w:t>
      </w:r>
    </w:p>
    <w:p>
      <w:pPr>
        <w:spacing w:line="560" w:lineRule="exact"/>
        <w:ind w:firstLine="632" w:firstLineChars="200"/>
        <w:rPr>
          <w:rFonts w:ascii="仿宋_GB2312" w:hAnsi="Verdana"/>
          <w:szCs w:val="32"/>
        </w:rPr>
      </w:pPr>
    </w:p>
    <w:p>
      <w:pP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pPr>
        <w:spacing w:line="56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三、财政转移支付安排情况</w:t>
      </w:r>
    </w:p>
    <w:p>
      <w:pPr>
        <w:spacing w:line="560" w:lineRule="exact"/>
        <w:ind w:firstLine="632" w:firstLineChars="200"/>
        <w:jc w:val="left"/>
        <w:rPr>
          <w:rFonts w:ascii="仿宋_GB2312" w:hAnsi="仿宋_GB2312" w:cs="仿宋_GB2312"/>
          <w:szCs w:val="32"/>
        </w:rPr>
      </w:pPr>
      <w:r>
        <w:rPr>
          <w:rFonts w:hint="eastAsia" w:ascii="仿宋_GB2312" w:hAnsi="仿宋_GB2312" w:cs="仿宋_GB2312"/>
          <w:szCs w:val="32"/>
        </w:rPr>
        <w:t>2024年财政转移支付收入安排126861万元，其中：</w:t>
      </w:r>
      <w:r>
        <w:rPr>
          <w:rFonts w:hint="eastAsia" w:ascii="仿宋_GB2312"/>
          <w:szCs w:val="32"/>
        </w:rPr>
        <w:t>一般性转移支付125078万元，专项转移支付1783万元。</w:t>
      </w:r>
    </w:p>
    <w:p>
      <w:pPr>
        <w:spacing w:line="560" w:lineRule="exact"/>
        <w:ind w:firstLine="632" w:firstLineChars="200"/>
        <w:jc w:val="left"/>
        <w:rPr>
          <w:rFonts w:ascii="仿宋_GB2312" w:hAnsi="仿宋_GB2312" w:cs="仿宋_GB2312"/>
          <w:szCs w:val="32"/>
          <w:highlight w:val="yellow"/>
        </w:rPr>
      </w:pPr>
      <w:r>
        <w:rPr>
          <w:rFonts w:hint="eastAsia" w:ascii="楷体_GB2312" w:hAnsi="楷体_GB2312" w:eastAsia="楷体_GB2312" w:cs="楷体_GB2312"/>
          <w:color w:val="000000"/>
          <w:szCs w:val="32"/>
        </w:rPr>
        <w:t>（一）一般性转移支付</w:t>
      </w:r>
      <w:r>
        <w:rPr>
          <w:rFonts w:hint="eastAsia" w:ascii="仿宋_GB2312"/>
          <w:szCs w:val="32"/>
        </w:rPr>
        <w:t>125078</w:t>
      </w:r>
      <w:r>
        <w:rPr>
          <w:rFonts w:hint="eastAsia" w:ascii="楷体_GB2312" w:hAnsi="楷体_GB2312" w:eastAsia="楷体_GB2312" w:cs="楷体_GB2312"/>
          <w:color w:val="000000"/>
          <w:szCs w:val="32"/>
        </w:rPr>
        <w:t>万元。</w:t>
      </w:r>
      <w:r>
        <w:rPr>
          <w:rFonts w:hint="eastAsia" w:ascii="仿宋_GB2312" w:hAnsi="仿宋_GB2312" w:cs="仿宋_GB2312"/>
          <w:szCs w:val="32"/>
        </w:rPr>
        <w:t>其中：体制补助收入218万元，均衡性转移支付收入15717万元，县级基本财力保障机制奖补资金收入4193万元，结算补助收入513万元，重点生态功能区转移支付收入6289万元，固定数额补助收入10829万元，其他返还性收入33927万元，革命老区转移支付收入393万元，民族地区转移支付收入12万元，巩固</w:t>
      </w:r>
      <w:r>
        <w:rPr>
          <w:rFonts w:hint="eastAsia" w:ascii="仿宋_GB2312" w:hAnsi="仿宋_GB2312" w:cs="仿宋_GB2312"/>
          <w:szCs w:val="32"/>
          <w:lang w:val="en-US" w:eastAsia="zh-CN"/>
        </w:rPr>
        <w:t>拓展</w:t>
      </w:r>
      <w:bookmarkStart w:id="0" w:name="_GoBack"/>
      <w:bookmarkEnd w:id="0"/>
      <w:r>
        <w:rPr>
          <w:rFonts w:hint="eastAsia" w:ascii="仿宋_GB2312" w:hAnsi="仿宋_GB2312" w:cs="仿宋_GB2312"/>
          <w:szCs w:val="32"/>
        </w:rPr>
        <w:t>脱贫攻坚成果衔接乡村振兴转移支付收入2240万元，一般公共服务共同财政事权转移支付收入28万元，公共安全共同财政事权转移支付收入1307万元，教育共同财政事权转移支付收入8728万元，科学技术共同财政事权转移支付收入728万元，文化旅游体育与传媒共同财政事权转移支付收入542万元，社会保障和就业共同财政事权转移支付收入20336万元，医疗卫生共同财政事权转移支付收入3791万元，节能环保共同财政事权转移支付收入8万元，农林水共同财政事权转移支付收入11402万元，交通运输共同财政事权转移支付收入2286万元，住房保障共同财政事权转移支付收入47万元，灾害防治及应急管理共同财政事权转移支付收入989万元，其他一般性转移支付收入555万元。</w:t>
      </w:r>
    </w:p>
    <w:p>
      <w:pPr>
        <w:spacing w:line="560" w:lineRule="exact"/>
        <w:ind w:firstLine="632" w:firstLineChars="200"/>
        <w:jc w:val="left"/>
        <w:rPr>
          <w:rFonts w:ascii="方正小标宋_GBK" w:hAnsi="方正小标宋_GBK" w:eastAsia="方正小标宋_GBK" w:cs="方正小标宋_GBK"/>
          <w:sz w:val="36"/>
          <w:szCs w:val="36"/>
        </w:rPr>
      </w:pPr>
      <w:r>
        <w:rPr>
          <w:rFonts w:hint="eastAsia" w:ascii="楷体_GB2312" w:hAnsi="楷体_GB2312" w:eastAsia="楷体_GB2312" w:cs="楷体_GB2312"/>
          <w:color w:val="000000"/>
          <w:szCs w:val="32"/>
        </w:rPr>
        <w:t>（二）专项转移支付1783万元。</w:t>
      </w:r>
      <w:r>
        <w:rPr>
          <w:rFonts w:hint="eastAsia" w:ascii="仿宋_GB2312" w:hAnsi="仿宋_GB2312" w:cs="仿宋_GB2312"/>
          <w:szCs w:val="32"/>
        </w:rPr>
        <w:t>其中：卫生健康87万元，节能环保支出162万元，农林水支出992万元，资源勘探工业信息2万元，商业服务业等540万元。</w:t>
      </w:r>
    </w:p>
    <w:p>
      <w:pPr>
        <w:spacing w:line="560" w:lineRule="exact"/>
        <w:ind w:firstLine="534" w:firstLineChars="150"/>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四、绩效预算工作开展情况</w:t>
      </w:r>
    </w:p>
    <w:p>
      <w:pPr>
        <w:spacing w:line="560" w:lineRule="exact"/>
        <w:ind w:firstLine="632" w:firstLineChars="200"/>
        <w:jc w:val="left"/>
        <w:rPr>
          <w:rFonts w:ascii="仿宋_GB2312" w:hAnsi="仿宋_GB2312" w:cs="仿宋_GB2312"/>
          <w:szCs w:val="32"/>
        </w:rPr>
      </w:pPr>
      <w:r>
        <w:rPr>
          <w:rFonts w:hint="eastAsia" w:ascii="仿宋_GB2312" w:hAnsi="仿宋_GB2312" w:cs="仿宋_GB2312"/>
          <w:szCs w:val="32"/>
        </w:rPr>
        <w:t>认真贯彻落实建立全面规范透明、标准科学、约束有力的预算制度，全面实施绩效管理”的改革部署和省政府《关于深化绩效预算管理改革的意见》要求，在努力构建“预算编制有目标、预算执行有监控、预算完成有评价、评价结果有应用、绩效缺失有问责”的全过程绩效管理新机制基础上，多方面持续用力，进一步推进全省绩效预算管理科学化、规范化、系统化。</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（一）、加强组织领导</w:t>
      </w:r>
    </w:p>
    <w:p>
      <w:pPr>
        <w:widowControl/>
        <w:spacing w:line="560" w:lineRule="exact"/>
        <w:ind w:firstLine="643"/>
        <w:jc w:val="left"/>
        <w:rPr>
          <w:rFonts w:ascii="仿宋_GB2312"/>
          <w:szCs w:val="32"/>
        </w:rPr>
      </w:pPr>
      <w:r>
        <w:rPr>
          <w:rFonts w:hint="eastAsia" w:ascii="仿宋_GB2312"/>
          <w:szCs w:val="32"/>
        </w:rPr>
        <w:t>为确保预算绩效管理体制改革工作顺利开展，明确职责分工，强化组织保障，成立绩效预算管理改革工作领导小组，负责绩效预算管理体制改革工作的组织领导和沟通协调。领导小组组长由局长担任、副组长由副局长担任、各业务股股长为领导小组成员。领导小组办公室设在预算股，由专人负责绩效预算联络工作。各预算部门建立绩效预算工作联络员制度，负责与县财政局绩效预算管理改革工作领导小组办公室和本部门科室之间的沟通、信息反馈及日常工作。各部门均按照财政部门的工作要求，积极推进绩效预算管理改革，与财政部门建立协调机制，确保改革工作的顺利开展。</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（二）、开展业务培训</w:t>
      </w:r>
    </w:p>
    <w:p>
      <w:pPr>
        <w:widowControl/>
        <w:spacing w:line="560" w:lineRule="exact"/>
        <w:ind w:firstLine="600"/>
        <w:jc w:val="left"/>
        <w:rPr>
          <w:rFonts w:ascii="仿宋_GB2312"/>
          <w:szCs w:val="32"/>
        </w:rPr>
      </w:pPr>
      <w:r>
        <w:rPr>
          <w:rFonts w:hint="eastAsia" w:ascii="仿宋_GB2312"/>
          <w:szCs w:val="32"/>
        </w:rPr>
        <w:t>按照绩效预算管理改革工作总体部署，多次组织召开业务培训，努力使财政部门各股室、各预算部门负责人全面掌握改革政策要求，确保业务人员了解绩效预算改革内容、操作流程，能够熟练进行业务操作。</w:t>
      </w:r>
    </w:p>
    <w:p>
      <w:pPr>
        <w:spacing w:line="560" w:lineRule="exact"/>
        <w:ind w:left="632" w:left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（三）全面实施预算绩效管理</w:t>
      </w:r>
    </w:p>
    <w:p>
      <w:pPr>
        <w:widowControl/>
        <w:spacing w:line="560" w:lineRule="exact"/>
        <w:ind w:firstLine="600"/>
        <w:jc w:val="left"/>
        <w:rPr>
          <w:rFonts w:ascii="仿宋_GB2312"/>
          <w:szCs w:val="32"/>
        </w:rPr>
      </w:pPr>
      <w:r>
        <w:rPr>
          <w:rFonts w:hint="eastAsia" w:ascii="仿宋_GB2312"/>
          <w:szCs w:val="32"/>
        </w:rPr>
        <w:t>按照深化财税体制改革、加快建立现代财政制度的总体要求，根据中共河北省委、河北省人民政府《关于全面实施预算绩效管理的实施意见》（冀发〔2018〕54号）和张家口市委、张家口市人民政府《张家口市全面实施预算绩效管理推进方案》（张发〔2019〕7号），结合我县实际，确定我县预算绩效管理改革的总体目标是：全面强化绩效理念，突出强调成本效益，更加注重结果导向，切实硬化责任约束，通过逐步构建完善的制度和标准体系，突出抓好目标设定、运行监控、绩效评价等关键环节，推动预算绩效管理扩围升级，将政府收支预算、部门收支预算、政策资金和项目预算全面纳入绩效管理，将绩效管理覆盖所有财政资金，将绩效理念和方法深度融入预算编制、执行和监督各个环节。2019年推进预算绩效管理工作，到2020年底，基本建成全方位、全过程、全覆盖的预算绩效管理体系，形成制度完善、管理规范、运转高效的预算绩效管理机制。</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（四）完善项目库建设</w:t>
      </w:r>
    </w:p>
    <w:p>
      <w:pPr>
        <w:spacing w:line="560" w:lineRule="exact"/>
        <w:ind w:firstLine="632" w:firstLineChars="200"/>
        <w:jc w:val="left"/>
        <w:rPr>
          <w:rFonts w:ascii="仿宋_GB2312"/>
          <w:szCs w:val="32"/>
        </w:rPr>
      </w:pPr>
      <w:r>
        <w:rPr>
          <w:rFonts w:hint="eastAsia" w:ascii="仿宋_GB2312"/>
          <w:szCs w:val="32"/>
        </w:rPr>
        <w:t>根据改革要求建立健全预算项目库，完善管理机制，充分发挥项目库的基础支撑作用。预算管理做到所有预算项目都要进入项目库，没有进入项目库的不得安排预算。2024年，我县年初入库项目1663个，涉及资金499378.2万元。此举进一步规范了我县预算项目申报审核，按程序组织项目论证、审查和入库的工作，切实提高项目预算编制质量。组织全县77个预算部门比照“部门职责-工作活动”目录及修</w:t>
      </w:r>
      <w:r>
        <w:rPr>
          <w:rFonts w:hint="eastAsia" w:ascii="仿宋_GB2312"/>
          <w:szCs w:val="32"/>
          <w:lang w:val="en-US" w:eastAsia="zh-CN"/>
        </w:rPr>
        <w:t>订</w:t>
      </w:r>
      <w:r>
        <w:rPr>
          <w:rFonts w:hint="eastAsia" w:ascii="仿宋_GB2312"/>
          <w:szCs w:val="32"/>
        </w:rPr>
        <w:t>完善了绩效目标指标体系，实行了规范的预算管理结构，按照“部门职责-工作活动-预算项目”三个层级编制2024年部门预算。预算编制明确了审核标准，确保部门预算绩效目标详实准确、科学规范、合理可行，尽可能量化细化，达到可审核、可监控、可评价、可公开。并依托省厅开发的“河北财政管理系统一体化平台”，将项目与指标紧密结合，实行全程跟踪管理。</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（五）规范预算编制</w:t>
      </w:r>
    </w:p>
    <w:p>
      <w:pPr>
        <w:widowControl/>
        <w:spacing w:line="560" w:lineRule="exact"/>
        <w:ind w:firstLine="600"/>
        <w:jc w:val="left"/>
        <w:rPr>
          <w:rFonts w:ascii="仿宋_GB2312"/>
          <w:szCs w:val="32"/>
        </w:rPr>
      </w:pPr>
      <w:r>
        <w:rPr>
          <w:rFonts w:hint="eastAsia" w:ascii="仿宋_GB2312"/>
          <w:szCs w:val="32"/>
        </w:rPr>
        <w:t>按照绩效预算管理体制改革要求分别编制了一般公共预算、政府性基金预算、国有资本经营收入、社会保险基金预算四本预算，将上级税收返还、下级上解收入、列入基数和提前通知的上级转移支付，与本级收入一并列入收入预算，统筹安排本级支出。县级2023年预算编制除实行企业化管理的事业单位外，所有预算部门都编制了部门预算，做到了一个部门一本预算，并将部门及所属单位所有收入全部纳入部门预算，部门支出预算统筹各类收入，按基本支出、项目支出分别编制。项目支出均按照省财政厅规定的12大类30小类的项目分类和编报模式，编制项目预算。以绩效为导向审核预算，将绩效目标指标审核作为安排预算的前提。</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（六）严格预算执行</w:t>
      </w:r>
    </w:p>
    <w:p>
      <w:pPr>
        <w:widowControl/>
        <w:spacing w:line="560" w:lineRule="exact"/>
        <w:ind w:firstLine="600"/>
        <w:jc w:val="left"/>
        <w:rPr>
          <w:rFonts w:ascii="仿宋_GB2312"/>
          <w:szCs w:val="32"/>
        </w:rPr>
      </w:pPr>
      <w:r>
        <w:rPr>
          <w:rFonts w:hint="eastAsia" w:ascii="仿宋_GB2312"/>
          <w:szCs w:val="32"/>
        </w:rPr>
        <w:t>按照规定程序和时限要求加快预算批复下达，强化预算执行管理，严格预算执行进度考核机制，实行执行进度通报制，建立预算执行与下年安排挂钩机制，促进部门加快执行进度。把绩效运行作为财政预算执行监控的主要内容之一，按照年初确定的绩效目标指标，动态监控各项资金支出和项目运行，及时纠正出现的问题。</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（八）完善预算标准体系</w:t>
      </w:r>
    </w:p>
    <w:p>
      <w:pPr>
        <w:widowControl/>
        <w:spacing w:line="560" w:lineRule="exact"/>
        <w:ind w:firstLine="600"/>
        <w:jc w:val="left"/>
        <w:rPr>
          <w:rFonts w:ascii="仿宋_GB2312"/>
          <w:szCs w:val="32"/>
        </w:rPr>
      </w:pPr>
      <w:r>
        <w:rPr>
          <w:rFonts w:hint="eastAsia" w:ascii="仿宋_GB2312"/>
          <w:szCs w:val="32"/>
        </w:rPr>
        <w:t>按照省财政厅要求健全基本支出定额标准体系，加快项目支出定额标准体系建设。完善人员编制管理、资产管理与预算编制相结合的机制，建立部门预算基础信息库，夯实基本支出预算管理基础工作开展。</w:t>
      </w:r>
    </w:p>
    <w:p>
      <w:pPr>
        <w:spacing w:line="560" w:lineRule="exact"/>
        <w:ind w:firstLine="632" w:firstLineChars="200"/>
        <w:jc w:val="lef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（九）夯实预决算公开工作</w:t>
      </w:r>
    </w:p>
    <w:p>
      <w:pPr>
        <w:spacing w:line="560" w:lineRule="exact"/>
        <w:ind w:firstLine="630"/>
        <w:rPr>
          <w:rFonts w:ascii="仿宋_GB2312"/>
          <w:szCs w:val="32"/>
        </w:rPr>
      </w:pPr>
      <w:r>
        <w:rPr>
          <w:rFonts w:hint="eastAsia" w:ascii="仿宋_GB2312"/>
          <w:szCs w:val="32"/>
        </w:rPr>
        <w:t>积极推进预决算公开工作制度的建设与完善。从新年伊始，在召开的各种会议上均对预决算公开工作做出重点强调，并在印发的《怀来县财政局关于进一步做好2020年预算公开工作的通知》（怀财字﹝2020﹞12号），文件中对预算公开主体、公开时限、公开内容、公开质量、公开渠道及其他相关事项提出了详细的操作要求，并随文件提供相关的预决算公开附件及模版以便于预算部门统一标准完成公开工作。</w:t>
      </w:r>
    </w:p>
    <w:p>
      <w:pPr>
        <w:spacing w:line="560" w:lineRule="exact"/>
        <w:ind w:firstLine="63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五、政府采购情况</w:t>
      </w:r>
    </w:p>
    <w:p>
      <w:pPr>
        <w:widowControl/>
        <w:spacing w:line="560" w:lineRule="exact"/>
        <w:ind w:firstLine="600"/>
        <w:jc w:val="left"/>
        <w:rPr>
          <w:rFonts w:ascii="仿宋_GB2312"/>
          <w:szCs w:val="32"/>
        </w:rPr>
      </w:pPr>
      <w:r>
        <w:rPr>
          <w:rFonts w:hint="eastAsia" w:ascii="仿宋_GB2312"/>
          <w:szCs w:val="32"/>
        </w:rPr>
        <w:t>2024年县本级政府采购预算项目资金安排万元。按70907.18采购类别分：货物类11473.13万元、工程类45369.82万元、服务类14064.23万元；按资金来源性质分：一般公共预算37556.85万元、政府性基金预算15532.55万元、上年结转结余17817.78万元。2024年本级政府采购预算编制要求为：凡符合《河北省集中采购目录及政府采购限额标准》的，全面编列部门政府采购预算。2024年县级政府采购限额标准为：单项或批量采购预算金额30万元（不含）以下的，不需办理政府采购手续；公开招标限额标准为：货物类和服务类200万元（含），工程类按照相关规定执行。</w:t>
      </w:r>
    </w:p>
    <w:p>
      <w:pPr>
        <w:spacing w:line="56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六、其他重要事项解释说明</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无。</w:t>
      </w:r>
    </w:p>
    <w:sectPr>
      <w:pgSz w:w="11906" w:h="16838"/>
      <w:pgMar w:top="2098" w:right="1474" w:bottom="2098" w:left="1587" w:header="851" w:footer="992" w:gutter="0"/>
      <w:cols w:space="0" w:num="1"/>
      <w:docGrid w:type="linesAndChars" w:linePitch="48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C39A"/>
    <w:multiLevelType w:val="singleLevel"/>
    <w:tmpl w:val="5B78C3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58"/>
  <w:drawingGridVerticalSpacing w:val="24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kY2I4MDJjOGU5OTBmNWI0NzcxMzNjZTBkYzZiYmUifQ=="/>
  </w:docVars>
  <w:rsids>
    <w:rsidRoot w:val="00EF734F"/>
    <w:rsid w:val="00A66C9A"/>
    <w:rsid w:val="00EF734F"/>
    <w:rsid w:val="03535A8D"/>
    <w:rsid w:val="03932D7C"/>
    <w:rsid w:val="04864B9D"/>
    <w:rsid w:val="05EB3BF0"/>
    <w:rsid w:val="05EE0C64"/>
    <w:rsid w:val="06186BF5"/>
    <w:rsid w:val="071902A1"/>
    <w:rsid w:val="0E101645"/>
    <w:rsid w:val="0F490407"/>
    <w:rsid w:val="133E2880"/>
    <w:rsid w:val="14B818D0"/>
    <w:rsid w:val="15055C1B"/>
    <w:rsid w:val="15976535"/>
    <w:rsid w:val="161956EB"/>
    <w:rsid w:val="165B1A18"/>
    <w:rsid w:val="17CE3757"/>
    <w:rsid w:val="1B183B77"/>
    <w:rsid w:val="1D690C3F"/>
    <w:rsid w:val="1D8C1543"/>
    <w:rsid w:val="1D9D5AA3"/>
    <w:rsid w:val="1E5B3E0B"/>
    <w:rsid w:val="1F8B1147"/>
    <w:rsid w:val="207179A9"/>
    <w:rsid w:val="20745B9A"/>
    <w:rsid w:val="20F77F42"/>
    <w:rsid w:val="225F2423"/>
    <w:rsid w:val="23CB5361"/>
    <w:rsid w:val="26A67B17"/>
    <w:rsid w:val="29526B79"/>
    <w:rsid w:val="2A2F7DDA"/>
    <w:rsid w:val="2AE05519"/>
    <w:rsid w:val="30637C21"/>
    <w:rsid w:val="336226DC"/>
    <w:rsid w:val="33694E93"/>
    <w:rsid w:val="33BB0CFE"/>
    <w:rsid w:val="33C70DEA"/>
    <w:rsid w:val="34023218"/>
    <w:rsid w:val="37D04F1C"/>
    <w:rsid w:val="38746528"/>
    <w:rsid w:val="3AA67D01"/>
    <w:rsid w:val="3CF60D7E"/>
    <w:rsid w:val="3F326C68"/>
    <w:rsid w:val="4078446B"/>
    <w:rsid w:val="408848F3"/>
    <w:rsid w:val="42B20281"/>
    <w:rsid w:val="42B24614"/>
    <w:rsid w:val="43921D40"/>
    <w:rsid w:val="448C14AA"/>
    <w:rsid w:val="4511235F"/>
    <w:rsid w:val="45551D3A"/>
    <w:rsid w:val="46C670DC"/>
    <w:rsid w:val="479B7539"/>
    <w:rsid w:val="48230C72"/>
    <w:rsid w:val="49873DD9"/>
    <w:rsid w:val="49F52A38"/>
    <w:rsid w:val="4CAC3921"/>
    <w:rsid w:val="4E37530E"/>
    <w:rsid w:val="4EB843B5"/>
    <w:rsid w:val="4F810503"/>
    <w:rsid w:val="50AA6C80"/>
    <w:rsid w:val="51604F03"/>
    <w:rsid w:val="52BA35DE"/>
    <w:rsid w:val="53A6282B"/>
    <w:rsid w:val="54DF2F34"/>
    <w:rsid w:val="54FE5304"/>
    <w:rsid w:val="582F554F"/>
    <w:rsid w:val="58C442AB"/>
    <w:rsid w:val="592B2027"/>
    <w:rsid w:val="5A9B7BE2"/>
    <w:rsid w:val="5AF37FAE"/>
    <w:rsid w:val="5C2048A6"/>
    <w:rsid w:val="5C436463"/>
    <w:rsid w:val="5C9F2793"/>
    <w:rsid w:val="5DEC0DF7"/>
    <w:rsid w:val="5E483810"/>
    <w:rsid w:val="5EE147AD"/>
    <w:rsid w:val="5F5A5C53"/>
    <w:rsid w:val="60393E8A"/>
    <w:rsid w:val="604B0A22"/>
    <w:rsid w:val="62876321"/>
    <w:rsid w:val="63855092"/>
    <w:rsid w:val="64084ABD"/>
    <w:rsid w:val="64556826"/>
    <w:rsid w:val="64A54E6F"/>
    <w:rsid w:val="65747D81"/>
    <w:rsid w:val="66685DA0"/>
    <w:rsid w:val="669366EB"/>
    <w:rsid w:val="66DE6885"/>
    <w:rsid w:val="67B67E16"/>
    <w:rsid w:val="67E241D0"/>
    <w:rsid w:val="680E14F8"/>
    <w:rsid w:val="687C1074"/>
    <w:rsid w:val="69353537"/>
    <w:rsid w:val="6A391E3C"/>
    <w:rsid w:val="6B5D0506"/>
    <w:rsid w:val="6D672865"/>
    <w:rsid w:val="6D896835"/>
    <w:rsid w:val="6FC90F68"/>
    <w:rsid w:val="70D40377"/>
    <w:rsid w:val="72932D4D"/>
    <w:rsid w:val="72A91EEE"/>
    <w:rsid w:val="77627230"/>
    <w:rsid w:val="799B084B"/>
    <w:rsid w:val="7A0E496C"/>
    <w:rsid w:val="7A540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eastAsia="仿宋_GB2312"/>
      <w:kern w:val="2"/>
      <w:sz w:val="18"/>
      <w:szCs w:val="18"/>
    </w:rPr>
  </w:style>
  <w:style w:type="character" w:customStyle="1" w:styleId="7">
    <w:name w:val="页脚 Char"/>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3455</Words>
  <Characters>390</Characters>
  <Lines>3</Lines>
  <Paragraphs>7</Paragraphs>
  <TotalTime>25</TotalTime>
  <ScaleCrop>false</ScaleCrop>
  <LinksUpToDate>false</LinksUpToDate>
  <CharactersWithSpaces>3838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66</cp:lastModifiedBy>
  <cp:lastPrinted>2022-06-20T08:02:00Z</cp:lastPrinted>
  <dcterms:modified xsi:type="dcterms:W3CDTF">2024-04-29T01:30:56Z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A608ADDE0D5A48EABE278C66D780B775</vt:lpwstr>
  </property>
</Properties>
</file>