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rPr>
        <w:t>8</w:t>
      </w:r>
      <w:r>
        <w:rPr>
          <w:rFonts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rPr>
        <w:t>农牧</w:t>
      </w:r>
      <w:r>
        <w:rPr>
          <w:rFonts w:ascii="Times New Roman" w:hAnsi="Times New Roman" w:eastAsia="方正小标宋_GBK" w:cs="Times New Roman"/>
          <w:sz w:val="44"/>
          <w:szCs w:val="44"/>
        </w:rPr>
        <w:t>部门预算信息公开</w:t>
      </w: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《中华人民共和国预算法》、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将怀来县农牧部门</w:t>
      </w:r>
      <w:r>
        <w:rPr>
          <w:rFonts w:ascii="仿宋" w:hAnsi="仿宋" w:eastAsia="仿宋" w:cs="Times New Roman"/>
          <w:sz w:val="32"/>
          <w:szCs w:val="32"/>
        </w:rPr>
        <w:t>201</w:t>
      </w:r>
      <w:r>
        <w:rPr>
          <w:rFonts w:hint="eastAsia" w:ascii="仿宋" w:hAnsi="仿宋" w:eastAsia="仿宋" w:cs="Times New Roman"/>
          <w:sz w:val="32"/>
          <w:szCs w:val="32"/>
        </w:rPr>
        <w:t>8</w:t>
      </w:r>
      <w:r>
        <w:rPr>
          <w:rFonts w:ascii="仿宋" w:hAnsi="仿宋" w:eastAsia="仿宋" w:cs="Times New Roman"/>
          <w:sz w:val="32"/>
          <w:szCs w:val="32"/>
        </w:rPr>
        <w:t>年预算公开如下：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ind w:firstLine="723" w:firstLineChars="225"/>
        <w:rPr>
          <w:rFonts w:ascii="仿宋" w:hAnsi="仿宋" w:eastAsia="仿宋" w:cs="Times New Roman"/>
          <w:b/>
          <w:sz w:val="32"/>
          <w:szCs w:val="32"/>
        </w:rPr>
      </w:pPr>
      <w:r>
        <w:rPr>
          <w:rFonts w:hint="eastAsia" w:ascii="仿宋" w:hAnsi="仿宋" w:eastAsia="仿宋" w:cs="Times New Roman"/>
          <w:b/>
          <w:sz w:val="32"/>
          <w:szCs w:val="32"/>
        </w:rPr>
        <w:t>部门</w:t>
      </w:r>
      <w:r>
        <w:rPr>
          <w:rFonts w:ascii="仿宋" w:hAnsi="仿宋" w:eastAsia="仿宋" w:cs="Times New Roman"/>
          <w:b/>
          <w:sz w:val="32"/>
          <w:szCs w:val="32"/>
        </w:rPr>
        <w:t>职责：</w:t>
      </w:r>
    </w:p>
    <w:p>
      <w:pPr>
        <w:ind w:firstLine="720" w:firstLineChars="225"/>
        <w:rPr>
          <w:rFonts w:ascii="仿宋_GB2312" w:hAnsi="仿宋" w:eastAsia="仿宋_GB2312"/>
          <w:sz w:val="32"/>
          <w:szCs w:val="32"/>
        </w:rPr>
      </w:pPr>
      <w:r>
        <w:rPr>
          <w:rFonts w:hint="eastAsia" w:ascii="仿宋_GB2312" w:hAnsi="仿宋" w:eastAsia="仿宋_GB2312"/>
          <w:sz w:val="32"/>
          <w:szCs w:val="32"/>
        </w:rPr>
        <w:t>1、负责农牧水产业方面的法律法规和县委、县政府在农牧水产业方面有关政策的贯彻落实和行政执法监督检查；参与研究制定本县有关农牧水产业的政策、措施和规定。</w:t>
      </w:r>
    </w:p>
    <w:p>
      <w:pPr>
        <w:ind w:firstLine="720" w:firstLineChars="225"/>
        <w:rPr>
          <w:rFonts w:ascii="仿宋_GB2312" w:hAnsi="仿宋" w:eastAsia="仿宋_GB2312"/>
          <w:sz w:val="32"/>
          <w:szCs w:val="32"/>
        </w:rPr>
      </w:pPr>
      <w:r>
        <w:rPr>
          <w:rFonts w:hint="eastAsia" w:ascii="仿宋_GB2312" w:hAnsi="仿宋" w:eastAsia="仿宋_GB2312"/>
          <w:sz w:val="32"/>
          <w:szCs w:val="32"/>
        </w:rPr>
        <w:t>2、负责研究制定本县农牧水产业中长期发展规划、发展战略及措施，并组织落实；研究提出农产品、畜产品、水产品及农牧业生产资料价格、流通、农村信贷、税收及财政补贴等有关农牧水产业发展的有关政策建议。</w:t>
      </w:r>
    </w:p>
    <w:p>
      <w:pPr>
        <w:ind w:firstLine="720" w:firstLineChars="225"/>
        <w:rPr>
          <w:rFonts w:ascii="仿宋_GB2312" w:hAnsi="仿宋" w:eastAsia="仿宋_GB2312"/>
          <w:sz w:val="32"/>
          <w:szCs w:val="32"/>
        </w:rPr>
      </w:pPr>
      <w:r>
        <w:rPr>
          <w:rFonts w:hint="eastAsia" w:ascii="仿宋_GB2312" w:hAnsi="仿宋" w:eastAsia="仿宋_GB2312"/>
          <w:sz w:val="32"/>
          <w:szCs w:val="32"/>
        </w:rPr>
        <w:t>3、负责对本县粮油、经济作物（含水果）、食用菌、畜禽水产生产发展进行宏观管理；研究落实农牧水产业发展重大技术措施；指导救灾备荒工作；收集、整理、发布有关农业、畜物、水产方面的信息。</w:t>
      </w:r>
    </w:p>
    <w:p>
      <w:pPr>
        <w:ind w:firstLine="720" w:firstLineChars="225"/>
        <w:rPr>
          <w:rFonts w:ascii="仿宋_GB2312" w:hAnsi="仿宋" w:eastAsia="仿宋_GB2312"/>
          <w:sz w:val="32"/>
          <w:szCs w:val="32"/>
        </w:rPr>
      </w:pPr>
      <w:r>
        <w:rPr>
          <w:rFonts w:hint="eastAsia" w:ascii="仿宋_GB2312" w:hAnsi="仿宋" w:eastAsia="仿宋_GB2312"/>
          <w:sz w:val="32"/>
          <w:szCs w:val="32"/>
        </w:rPr>
        <w:t>4、负责制定农牧水产业</w:t>
      </w:r>
      <w:bookmarkStart w:id="2" w:name="_GoBack"/>
      <w:bookmarkEnd w:id="2"/>
      <w:r>
        <w:rPr>
          <w:rFonts w:hint="eastAsia" w:ascii="仿宋_GB2312" w:hAnsi="仿宋" w:eastAsia="仿宋_GB2312"/>
          <w:sz w:val="32"/>
          <w:szCs w:val="32"/>
        </w:rPr>
        <w:t>化经营方针政策；指导本县农牧水产业结构调整工作；负责农牧水产业社会化服务体系建设；提出主要农产品、畜产品、水产品批发市场建设发展规划。</w:t>
      </w:r>
    </w:p>
    <w:p>
      <w:pPr>
        <w:ind w:firstLine="720" w:firstLineChars="225"/>
        <w:rPr>
          <w:rFonts w:ascii="仿宋_GB2312" w:hAnsi="仿宋" w:eastAsia="仿宋_GB2312"/>
          <w:sz w:val="32"/>
          <w:szCs w:val="32"/>
        </w:rPr>
      </w:pPr>
      <w:r>
        <w:rPr>
          <w:rFonts w:hint="eastAsia" w:ascii="仿宋_GB2312" w:hAnsi="仿宋" w:eastAsia="仿宋_GB2312"/>
          <w:sz w:val="32"/>
          <w:szCs w:val="32"/>
        </w:rPr>
        <w:t>5、负责制定落实农牧水产业科技教育发展规划及其措施；组织指导本县农牧水产业科技攻关、科技培训、技术推广；负责农牧水产业技术改造项目、基本建设项目、招商引资项目的编制、论证、申报、落实和管理；负责农牧水产业教育和农牧水产业职业技能开发及农民科技教育培训工作；负责本县农牧水产业系统职称评定工作。</w:t>
      </w:r>
    </w:p>
    <w:p>
      <w:pPr>
        <w:ind w:firstLine="720" w:firstLineChars="225"/>
        <w:rPr>
          <w:rFonts w:ascii="仿宋_GB2312" w:hAnsi="仿宋" w:eastAsia="仿宋_GB2312"/>
          <w:sz w:val="32"/>
          <w:szCs w:val="32"/>
        </w:rPr>
      </w:pPr>
      <w:r>
        <w:rPr>
          <w:rFonts w:hint="eastAsia" w:ascii="仿宋_GB2312" w:hAnsi="仿宋" w:eastAsia="仿宋_GB2312"/>
          <w:sz w:val="32"/>
          <w:szCs w:val="32"/>
        </w:rPr>
        <w:t>6、负责组织实施主管产业产品、无公害绿色食品的质量监督、认证和新品种保护工作；组织协调种子、良种、农药等农牧水产业投入品质量检测、鉴定和监督管理；组织监督县内植物、畜禽的防疫、检疫工作，发布疫情，组织扑灭；组织全县兽医医政、兽医药政、药检，负责全县防治牲畜五号病和禽流感指挥部日常工作。</w:t>
      </w:r>
    </w:p>
    <w:p>
      <w:pPr>
        <w:ind w:firstLine="720" w:firstLineChars="225"/>
        <w:rPr>
          <w:rFonts w:ascii="仿宋_GB2312" w:hAnsi="仿宋" w:eastAsia="仿宋_GB2312"/>
          <w:sz w:val="32"/>
          <w:szCs w:val="32"/>
        </w:rPr>
      </w:pPr>
      <w:r>
        <w:rPr>
          <w:rFonts w:hint="eastAsia" w:ascii="仿宋_GB2312" w:hAnsi="仿宋" w:eastAsia="仿宋_GB2312"/>
          <w:sz w:val="32"/>
          <w:szCs w:val="32"/>
        </w:rPr>
        <w:t>7、负责种子、农药生产经营许可证的审核、审批工作；有关肥料产品的登记工作；农作物新品种的审定工作。</w:t>
      </w:r>
    </w:p>
    <w:p>
      <w:pPr>
        <w:ind w:firstLine="720" w:firstLineChars="225"/>
        <w:rPr>
          <w:rFonts w:ascii="仿宋_GB2312" w:hAnsi="仿宋" w:eastAsia="仿宋_GB2312"/>
          <w:sz w:val="32"/>
          <w:szCs w:val="32"/>
        </w:rPr>
      </w:pPr>
      <w:r>
        <w:rPr>
          <w:rFonts w:hint="eastAsia" w:ascii="仿宋_GB2312" w:hAnsi="仿宋" w:eastAsia="仿宋_GB2312"/>
          <w:sz w:val="32"/>
          <w:szCs w:val="32"/>
        </w:rPr>
        <w:t>8、负责本县农业机械化和农业机械（拖拉机、联合收割机等）安全监理工作。</w:t>
      </w:r>
    </w:p>
    <w:p>
      <w:pPr>
        <w:ind w:firstLine="720" w:firstLineChars="225"/>
        <w:rPr>
          <w:rFonts w:ascii="仿宋_GB2312" w:hAnsi="仿宋" w:eastAsia="仿宋_GB2312"/>
          <w:sz w:val="32"/>
          <w:szCs w:val="32"/>
        </w:rPr>
      </w:pPr>
      <w:r>
        <w:rPr>
          <w:rFonts w:hint="eastAsia" w:ascii="仿宋_GB2312" w:hAnsi="仿宋" w:eastAsia="仿宋_GB2312"/>
          <w:sz w:val="32"/>
          <w:szCs w:val="32"/>
        </w:rPr>
        <w:t>9、负责参与制定农村经济体制改革意见；研究提出深化乡村集体经济组织、合作经济组织发展建议；负责农村财务管理和村务公开工作；承担减轻农民负担的职能。</w:t>
      </w:r>
    </w:p>
    <w:p>
      <w:pPr>
        <w:ind w:firstLine="720" w:firstLineChars="225"/>
        <w:rPr>
          <w:rFonts w:ascii="仿宋_GB2312" w:hAnsi="仿宋" w:eastAsia="仿宋_GB2312"/>
          <w:sz w:val="32"/>
          <w:szCs w:val="32"/>
        </w:rPr>
      </w:pPr>
      <w:r>
        <w:rPr>
          <w:rFonts w:hint="eastAsia" w:ascii="仿宋_GB2312" w:hAnsi="仿宋" w:eastAsia="仿宋_GB2312"/>
          <w:sz w:val="32"/>
          <w:szCs w:val="32"/>
        </w:rPr>
        <w:t>10、负责管理机关及直属企事业单位人事、劳资、保险、职称、机构编制工作；指导社会团体为农牧水产业服务工作；负责机关及事业单位的考核、奖励工作。</w:t>
      </w:r>
    </w:p>
    <w:p>
      <w:pPr>
        <w:ind w:firstLine="720" w:firstLineChars="225"/>
        <w:rPr>
          <w:rFonts w:ascii="仿宋_GB2312" w:hAnsi="仿宋" w:eastAsia="仿宋_GB2312"/>
          <w:sz w:val="32"/>
          <w:szCs w:val="32"/>
        </w:rPr>
      </w:pPr>
      <w:r>
        <w:rPr>
          <w:rFonts w:hint="eastAsia" w:ascii="仿宋_GB2312" w:hAnsi="仿宋" w:eastAsia="仿宋_GB2312"/>
          <w:sz w:val="32"/>
          <w:szCs w:val="32"/>
        </w:rPr>
        <w:t>11、负责农牧水产业涉外事务；组织农牧水产业对外经济技术交流与合作。</w:t>
      </w:r>
    </w:p>
    <w:p>
      <w:pPr>
        <w:ind w:firstLine="720" w:firstLineChars="225"/>
        <w:rPr>
          <w:rFonts w:ascii="仿宋_GB2312" w:hAnsi="仿宋" w:eastAsia="仿宋_GB2312"/>
          <w:sz w:val="32"/>
          <w:szCs w:val="32"/>
        </w:rPr>
      </w:pPr>
      <w:r>
        <w:rPr>
          <w:rFonts w:hint="eastAsia" w:ascii="仿宋_GB2312" w:hAnsi="仿宋" w:eastAsia="仿宋_GB2312"/>
          <w:sz w:val="32"/>
          <w:szCs w:val="32"/>
        </w:rPr>
        <w:t>12、加强农牧水产业信息化发展步伐。</w:t>
      </w:r>
    </w:p>
    <w:p>
      <w:pPr>
        <w:ind w:firstLine="720" w:firstLineChars="225"/>
        <w:rPr>
          <w:rFonts w:ascii="仿宋_GB2312" w:hAnsi="仿宋" w:eastAsia="仿宋_GB2312"/>
          <w:sz w:val="32"/>
          <w:szCs w:val="32"/>
        </w:rPr>
      </w:pPr>
      <w:r>
        <w:rPr>
          <w:rFonts w:hint="eastAsia" w:ascii="仿宋_GB2312" w:hAnsi="仿宋" w:eastAsia="仿宋_GB2312"/>
          <w:sz w:val="32"/>
          <w:szCs w:val="32"/>
        </w:rPr>
        <w:t>13、推行标准化生产，提高农产品、畜产品、水产品质量安全水平，提高市场竞争力。</w:t>
      </w:r>
    </w:p>
    <w:p>
      <w:pPr>
        <w:ind w:firstLine="720" w:firstLineChars="225"/>
        <w:rPr>
          <w:rFonts w:ascii="仿宋_GB2312" w:hAnsi="仿宋" w:eastAsia="仿宋_GB2312"/>
          <w:sz w:val="32"/>
          <w:szCs w:val="32"/>
        </w:rPr>
      </w:pPr>
      <w:r>
        <w:rPr>
          <w:rFonts w:hint="eastAsia" w:ascii="仿宋_GB2312" w:hAnsi="仿宋" w:eastAsia="仿宋_GB2312"/>
          <w:sz w:val="32"/>
          <w:szCs w:val="32"/>
        </w:rPr>
        <w:t>14、保护和合理利用草地资源，强化草原建设、保护和监管，会同有关部门组织实施国农京津风沙源治理项目及“防沙治沙”、“一退双还”等重点工程，加强秸秆开发利用。</w:t>
      </w:r>
    </w:p>
    <w:p>
      <w:pPr>
        <w:ind w:firstLine="720" w:firstLineChars="225"/>
        <w:rPr>
          <w:rFonts w:ascii="仿宋_GB2312" w:hAnsi="仿宋" w:eastAsia="仿宋_GB2312"/>
          <w:sz w:val="32"/>
          <w:szCs w:val="32"/>
        </w:rPr>
      </w:pPr>
      <w:r>
        <w:rPr>
          <w:rFonts w:hint="eastAsia" w:ascii="仿宋_GB2312" w:hAnsi="仿宋" w:eastAsia="仿宋_GB2312"/>
          <w:sz w:val="32"/>
          <w:szCs w:val="32"/>
        </w:rPr>
        <w:t>15、履行县政府饲料工业办公室职能，对全县饲料工业进行宏观指导和行业管理。</w:t>
      </w:r>
    </w:p>
    <w:p>
      <w:pPr>
        <w:ind w:firstLine="720" w:firstLineChars="225"/>
        <w:rPr>
          <w:rFonts w:ascii="仿宋_GB2312" w:hAnsi="仿宋" w:eastAsia="仿宋_GB2312"/>
          <w:sz w:val="32"/>
          <w:szCs w:val="32"/>
        </w:rPr>
      </w:pPr>
      <w:r>
        <w:rPr>
          <w:rFonts w:hint="eastAsia" w:ascii="仿宋_GB2312" w:hAnsi="仿宋" w:eastAsia="仿宋_GB2312"/>
          <w:sz w:val="32"/>
          <w:szCs w:val="32"/>
        </w:rPr>
        <w:t>16、负责全县农作物、畜禽、水产品种资源保护，组织植物新品种、畜禽、水产良种推广规划和组织实施，组织协调畜禽、水产良种引进、培育和推广。</w:t>
      </w:r>
    </w:p>
    <w:p>
      <w:pPr>
        <w:ind w:firstLine="720" w:firstLineChars="225"/>
        <w:rPr>
          <w:rFonts w:ascii="仿宋_GB2312" w:hAnsi="仿宋" w:eastAsia="仿宋_GB2312"/>
          <w:sz w:val="32"/>
          <w:szCs w:val="32"/>
        </w:rPr>
      </w:pPr>
      <w:r>
        <w:rPr>
          <w:rFonts w:hint="eastAsia" w:ascii="仿宋_GB2312" w:hAnsi="仿宋" w:eastAsia="仿宋_GB2312"/>
          <w:sz w:val="32"/>
          <w:szCs w:val="32"/>
        </w:rPr>
        <w:t>17、负责渔业有关法律法规的组织实施和监督检查，研究制定地方性渔业法规，组建管理渔政队伍，保护渔业资源，协调处理渔事纠纷，依法查处渔事案件，维护渔业生产秩序。</w:t>
      </w:r>
    </w:p>
    <w:p>
      <w:pPr>
        <w:ind w:firstLine="720" w:firstLineChars="225"/>
        <w:rPr>
          <w:rFonts w:ascii="仿宋_GB2312" w:hAnsi="仿宋" w:eastAsia="仿宋_GB2312"/>
          <w:sz w:val="32"/>
          <w:szCs w:val="32"/>
        </w:rPr>
      </w:pPr>
      <w:r>
        <w:rPr>
          <w:rFonts w:hint="eastAsia" w:ascii="仿宋_GB2312" w:hAnsi="仿宋" w:eastAsia="仿宋_GB2312"/>
          <w:sz w:val="32"/>
          <w:szCs w:val="32"/>
        </w:rPr>
        <w:t>18、加强对乡（镇）畜牧兽医站的领导和各乡（镇）农技推广站的指导，指导局属单位工作，监督局属单位国有资产保值增值。</w:t>
      </w:r>
    </w:p>
    <w:p>
      <w:pPr>
        <w:ind w:firstLine="720" w:firstLineChars="225"/>
        <w:rPr>
          <w:rFonts w:ascii="仿宋_GB2312" w:hAnsi="仿宋" w:eastAsia="仿宋_GB2312"/>
          <w:sz w:val="32"/>
          <w:szCs w:val="32"/>
        </w:rPr>
      </w:pPr>
      <w:r>
        <w:rPr>
          <w:rFonts w:hint="eastAsia" w:ascii="仿宋_GB2312" w:hAnsi="仿宋" w:eastAsia="仿宋_GB2312"/>
          <w:sz w:val="32"/>
          <w:szCs w:val="32"/>
        </w:rPr>
        <w:t>19、负责涉及农牧水产业人大建议、政府提案的办理答复工作，以及有关农牧水产方面的来信来访工作。</w:t>
      </w:r>
    </w:p>
    <w:p>
      <w:pPr>
        <w:ind w:firstLine="720" w:firstLineChars="225"/>
        <w:rPr>
          <w:rFonts w:ascii="仿宋_GB2312" w:hAnsi="仿宋" w:eastAsia="仿宋_GB2312"/>
          <w:sz w:val="32"/>
          <w:szCs w:val="32"/>
        </w:rPr>
      </w:pPr>
      <w:r>
        <w:rPr>
          <w:rFonts w:hint="eastAsia" w:ascii="仿宋_GB2312" w:hAnsi="仿宋" w:eastAsia="仿宋_GB2312"/>
          <w:sz w:val="32"/>
          <w:szCs w:val="32"/>
        </w:rPr>
        <w:t>20、承办县委、县政府交办的其它工作。</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机构设置：</w:t>
      </w:r>
    </w:p>
    <w:p>
      <w:pPr>
        <w:jc w:val="center"/>
        <w:outlineLvl w:val="0"/>
        <w:rPr>
          <w:rFonts w:ascii="Times New Roman" w:hAnsi="Times New Roman" w:eastAsia="方正小标宋_GBK" w:cs="Times New Roman"/>
          <w:sz w:val="32"/>
          <w:szCs w:val="24"/>
        </w:rPr>
      </w:pPr>
      <w:r>
        <w:rPr>
          <w:rFonts w:ascii="Times New Roman" w:hAnsi="Times New Roman" w:eastAsia="方正小标宋_GBK" w:cs="Times New Roman"/>
          <w:sz w:val="32"/>
          <w:szCs w:val="24"/>
        </w:rPr>
        <w:t>部门</w:t>
      </w:r>
      <w:r>
        <w:rPr>
          <w:rFonts w:hint="eastAsia" w:ascii="Times New Roman" w:hAnsi="Times New Roman" w:eastAsia="方正小标宋_GBK" w:cs="Times New Roman"/>
          <w:sz w:val="32"/>
          <w:szCs w:val="24"/>
        </w:rPr>
        <w:t>机构设置情况</w:t>
      </w:r>
    </w:p>
    <w:tbl>
      <w:tblPr>
        <w:tblStyle w:val="7"/>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17"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单位名称</w:t>
            </w:r>
          </w:p>
        </w:tc>
        <w:tc>
          <w:tcPr>
            <w:tcW w:w="1134"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单位性质</w:t>
            </w:r>
          </w:p>
        </w:tc>
        <w:tc>
          <w:tcPr>
            <w:tcW w:w="1276"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单位规格</w:t>
            </w:r>
          </w:p>
        </w:tc>
        <w:tc>
          <w:tcPr>
            <w:tcW w:w="2902"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17" w:type="dxa"/>
            <w:vMerge w:val="continue"/>
            <w:vAlign w:val="center"/>
          </w:tcPr>
          <w:p>
            <w:pPr>
              <w:spacing w:line="300" w:lineRule="exact"/>
              <w:jc w:val="left"/>
              <w:outlineLvl w:val="0"/>
              <w:rPr>
                <w:rFonts w:ascii="Times New Roman" w:hAnsi="Times New Roman" w:cs="Times New Roman"/>
                <w:szCs w:val="24"/>
              </w:rPr>
            </w:pPr>
          </w:p>
        </w:tc>
        <w:tc>
          <w:tcPr>
            <w:tcW w:w="1134" w:type="dxa"/>
            <w:vMerge w:val="continue"/>
            <w:vAlign w:val="center"/>
          </w:tcPr>
          <w:p>
            <w:pPr>
              <w:spacing w:line="300" w:lineRule="exact"/>
              <w:jc w:val="left"/>
              <w:outlineLvl w:val="0"/>
              <w:rPr>
                <w:rFonts w:ascii="Times New Roman" w:hAnsi="Times New Roman" w:cs="Times New Roman"/>
                <w:szCs w:val="24"/>
              </w:rPr>
            </w:pPr>
          </w:p>
        </w:tc>
        <w:tc>
          <w:tcPr>
            <w:tcW w:w="1276" w:type="dxa"/>
            <w:vMerge w:val="continue"/>
            <w:vAlign w:val="center"/>
          </w:tcPr>
          <w:p>
            <w:pPr>
              <w:spacing w:line="300" w:lineRule="exact"/>
              <w:jc w:val="left"/>
              <w:outlineLvl w:val="0"/>
              <w:rPr>
                <w:rFonts w:ascii="Times New Roman" w:hAnsi="Times New Roman" w:cs="Times New Roman"/>
                <w:szCs w:val="24"/>
              </w:rPr>
            </w:pPr>
          </w:p>
        </w:tc>
        <w:tc>
          <w:tcPr>
            <w:tcW w:w="2902" w:type="dxa"/>
            <w:vMerge w:val="continue"/>
            <w:vAlign w:val="center"/>
          </w:tcPr>
          <w:p>
            <w:pPr>
              <w:spacing w:line="300" w:lineRule="exact"/>
              <w:jc w:val="left"/>
              <w:outlineLvl w:val="0"/>
              <w:rPr>
                <w:rFonts w:ascii="Times New Roman" w:hAnsi="Times New Roman"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center"/>
              <w:rPr>
                <w:rFonts w:ascii="Times New Roman" w:hAnsi="Times New Roman" w:eastAsia="方正书宋_GBK" w:cs="Times New Roman"/>
                <w:szCs w:val="24"/>
              </w:rPr>
            </w:pPr>
            <w:r>
              <w:rPr>
                <w:rFonts w:hint="eastAsia" w:ascii="方正书宋_GBK" w:eastAsia="方正书宋_GBK"/>
              </w:rPr>
              <w:t>怀来县农牧局</w:t>
            </w:r>
          </w:p>
        </w:tc>
        <w:tc>
          <w:tcPr>
            <w:tcW w:w="1134" w:type="dxa"/>
            <w:vAlign w:val="center"/>
          </w:tcPr>
          <w:p>
            <w:pPr>
              <w:spacing w:line="300" w:lineRule="exact"/>
              <w:jc w:val="center"/>
              <w:rPr>
                <w:rFonts w:ascii="Times New Roman" w:hAnsi="Times New Roman" w:eastAsia="方正书宋_GBK" w:cs="Times New Roman"/>
                <w:szCs w:val="24"/>
              </w:rPr>
            </w:pPr>
            <w:r>
              <w:rPr>
                <w:rFonts w:hint="eastAsia" w:ascii="方正书宋_GBK" w:eastAsia="方正书宋_GBK"/>
              </w:rPr>
              <w:t>事业</w:t>
            </w:r>
          </w:p>
        </w:tc>
        <w:tc>
          <w:tcPr>
            <w:tcW w:w="1276" w:type="dxa"/>
            <w:vAlign w:val="center"/>
          </w:tcPr>
          <w:p>
            <w:pPr>
              <w:spacing w:line="300" w:lineRule="exact"/>
              <w:jc w:val="center"/>
              <w:rPr>
                <w:rFonts w:ascii="Times New Roman" w:hAnsi="Times New Roman" w:eastAsia="方正书宋_GBK" w:cs="Times New Roman"/>
                <w:szCs w:val="24"/>
              </w:rPr>
            </w:pPr>
            <w:r>
              <w:rPr>
                <w:rFonts w:hint="eastAsia" w:ascii="方正书宋_GBK" w:eastAsia="方正书宋_GBK"/>
              </w:rPr>
              <w:t>正科级</w:t>
            </w:r>
          </w:p>
        </w:tc>
        <w:tc>
          <w:tcPr>
            <w:tcW w:w="2902" w:type="dxa"/>
            <w:vAlign w:val="center"/>
          </w:tcPr>
          <w:p>
            <w:pPr>
              <w:spacing w:line="300" w:lineRule="exact"/>
              <w:jc w:val="center"/>
              <w:rPr>
                <w:rFonts w:ascii="Times New Roman" w:hAnsi="Times New Roman" w:eastAsia="方正书宋_GBK" w:cs="Times New Roman"/>
                <w:szCs w:val="24"/>
              </w:rPr>
            </w:pPr>
            <w:r>
              <w:rPr>
                <w:rFonts w:hint="eastAsia" w:ascii="方正书宋_GBK" w:eastAsia="方正书宋_GBK"/>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ascii="Times New Roman" w:hAnsi="Times New Roman" w:eastAsia="方正书宋_GBK" w:cs="Times New Roman"/>
                <w:szCs w:val="24"/>
              </w:rPr>
            </w:pPr>
          </w:p>
        </w:tc>
        <w:tc>
          <w:tcPr>
            <w:tcW w:w="1134" w:type="dxa"/>
            <w:vAlign w:val="center"/>
          </w:tcPr>
          <w:p>
            <w:pPr>
              <w:spacing w:line="300" w:lineRule="exact"/>
              <w:jc w:val="center"/>
              <w:rPr>
                <w:rFonts w:ascii="Times New Roman" w:hAnsi="Times New Roman" w:eastAsia="方正书宋_GBK" w:cs="Times New Roman"/>
                <w:szCs w:val="24"/>
              </w:rPr>
            </w:pPr>
          </w:p>
        </w:tc>
        <w:tc>
          <w:tcPr>
            <w:tcW w:w="1276" w:type="dxa"/>
            <w:vAlign w:val="center"/>
          </w:tcPr>
          <w:p>
            <w:pPr>
              <w:spacing w:line="300" w:lineRule="exact"/>
              <w:jc w:val="center"/>
              <w:rPr>
                <w:rFonts w:ascii="Times New Roman" w:hAnsi="Times New Roman" w:eastAsia="方正书宋_GBK" w:cs="Times New Roman"/>
                <w:szCs w:val="24"/>
              </w:rPr>
            </w:pPr>
          </w:p>
        </w:tc>
        <w:tc>
          <w:tcPr>
            <w:tcW w:w="2902" w:type="dxa"/>
            <w:vAlign w:val="center"/>
          </w:tcPr>
          <w:p>
            <w:pPr>
              <w:spacing w:line="300" w:lineRule="exact"/>
              <w:jc w:val="center"/>
              <w:rPr>
                <w:rFonts w:ascii="Times New Roman" w:hAnsi="Times New Roman" w:eastAsia="方正书宋_GBK"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ascii="Times New Roman" w:hAnsi="Times New Roman" w:eastAsia="方正书宋_GBK" w:cs="Times New Roman"/>
                <w:szCs w:val="24"/>
              </w:rPr>
            </w:pPr>
          </w:p>
        </w:tc>
        <w:tc>
          <w:tcPr>
            <w:tcW w:w="1134" w:type="dxa"/>
            <w:vAlign w:val="center"/>
          </w:tcPr>
          <w:p>
            <w:pPr>
              <w:spacing w:line="300" w:lineRule="exact"/>
              <w:jc w:val="center"/>
              <w:rPr>
                <w:rFonts w:ascii="Times New Roman" w:hAnsi="Times New Roman" w:eastAsia="方正书宋_GBK" w:cs="Times New Roman"/>
                <w:szCs w:val="24"/>
              </w:rPr>
            </w:pPr>
          </w:p>
        </w:tc>
        <w:tc>
          <w:tcPr>
            <w:tcW w:w="1276" w:type="dxa"/>
            <w:vAlign w:val="center"/>
          </w:tcPr>
          <w:p>
            <w:pPr>
              <w:spacing w:line="300" w:lineRule="exact"/>
              <w:jc w:val="center"/>
              <w:rPr>
                <w:rFonts w:ascii="Times New Roman" w:hAnsi="Times New Roman" w:eastAsia="方正书宋_GBK" w:cs="Times New Roman"/>
                <w:szCs w:val="24"/>
              </w:rPr>
            </w:pPr>
          </w:p>
        </w:tc>
        <w:tc>
          <w:tcPr>
            <w:tcW w:w="2902" w:type="dxa"/>
            <w:vAlign w:val="center"/>
          </w:tcPr>
          <w:p>
            <w:pPr>
              <w:spacing w:line="300" w:lineRule="exact"/>
              <w:jc w:val="center"/>
              <w:rPr>
                <w:rFonts w:ascii="Times New Roman" w:hAnsi="Times New Roman" w:eastAsia="方正书宋_GBK"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ascii="Times New Roman" w:hAnsi="Times New Roman" w:eastAsia="方正书宋_GBK" w:cs="Times New Roman"/>
                <w:szCs w:val="24"/>
              </w:rPr>
            </w:pPr>
          </w:p>
        </w:tc>
        <w:tc>
          <w:tcPr>
            <w:tcW w:w="1134" w:type="dxa"/>
            <w:vAlign w:val="center"/>
          </w:tcPr>
          <w:p>
            <w:pPr>
              <w:spacing w:line="300" w:lineRule="exact"/>
              <w:jc w:val="center"/>
              <w:rPr>
                <w:rFonts w:ascii="Times New Roman" w:hAnsi="Times New Roman" w:eastAsia="方正书宋_GBK" w:cs="Times New Roman"/>
                <w:szCs w:val="24"/>
              </w:rPr>
            </w:pPr>
          </w:p>
        </w:tc>
        <w:tc>
          <w:tcPr>
            <w:tcW w:w="1276" w:type="dxa"/>
            <w:vAlign w:val="center"/>
          </w:tcPr>
          <w:p>
            <w:pPr>
              <w:spacing w:line="300" w:lineRule="exact"/>
              <w:jc w:val="center"/>
              <w:rPr>
                <w:rFonts w:ascii="Times New Roman" w:hAnsi="Times New Roman" w:eastAsia="方正书宋_GBK" w:cs="Times New Roman"/>
                <w:szCs w:val="24"/>
              </w:rPr>
            </w:pPr>
          </w:p>
        </w:tc>
        <w:tc>
          <w:tcPr>
            <w:tcW w:w="2902" w:type="dxa"/>
            <w:vAlign w:val="center"/>
          </w:tcPr>
          <w:p>
            <w:pPr>
              <w:spacing w:line="300" w:lineRule="exact"/>
              <w:jc w:val="center"/>
              <w:rPr>
                <w:rFonts w:ascii="Times New Roman" w:hAnsi="Times New Roman" w:eastAsia="方正书宋_GBK"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ascii="Times New Roman" w:hAnsi="Times New Roman" w:eastAsia="方正书宋_GBK" w:cs="Times New Roman"/>
                <w:szCs w:val="24"/>
              </w:rPr>
            </w:pPr>
          </w:p>
        </w:tc>
        <w:tc>
          <w:tcPr>
            <w:tcW w:w="1134" w:type="dxa"/>
            <w:vAlign w:val="center"/>
          </w:tcPr>
          <w:p>
            <w:pPr>
              <w:spacing w:line="300" w:lineRule="exact"/>
              <w:jc w:val="center"/>
              <w:rPr>
                <w:rFonts w:ascii="Times New Roman" w:hAnsi="Times New Roman" w:eastAsia="方正书宋_GBK" w:cs="Times New Roman"/>
                <w:szCs w:val="24"/>
              </w:rPr>
            </w:pPr>
          </w:p>
        </w:tc>
        <w:tc>
          <w:tcPr>
            <w:tcW w:w="1276" w:type="dxa"/>
            <w:vAlign w:val="center"/>
          </w:tcPr>
          <w:p>
            <w:pPr>
              <w:spacing w:line="300" w:lineRule="exact"/>
              <w:jc w:val="center"/>
              <w:rPr>
                <w:rFonts w:ascii="Times New Roman" w:hAnsi="Times New Roman" w:eastAsia="方正书宋_GBK" w:cs="Times New Roman"/>
                <w:szCs w:val="24"/>
              </w:rPr>
            </w:pPr>
          </w:p>
        </w:tc>
        <w:tc>
          <w:tcPr>
            <w:tcW w:w="2902" w:type="dxa"/>
            <w:vAlign w:val="center"/>
          </w:tcPr>
          <w:p>
            <w:pPr>
              <w:spacing w:line="300" w:lineRule="exact"/>
              <w:jc w:val="center"/>
              <w:rPr>
                <w:rFonts w:ascii="Times New Roman" w:hAnsi="Times New Roman" w:eastAsia="方正书宋_GBK" w:cs="Times New Roman"/>
                <w:szCs w:val="24"/>
              </w:rPr>
            </w:pPr>
          </w:p>
        </w:tc>
      </w:tr>
    </w:tbl>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ascii="Times New Roman" w:hAnsi="Times New Roman" w:eastAsia="仿宋" w:cs="Times New Roman"/>
          <w:sz w:val="32"/>
          <w:szCs w:val="32"/>
        </w:rPr>
      </w:pPr>
      <w:r>
        <w:rPr>
          <w:rFonts w:ascii="Times New Roman" w:hAnsi="Times New Roman" w:eastAsia="仿宋" w:cs="Times New Roman"/>
          <w:sz w:val="32"/>
          <w:szCs w:val="32"/>
        </w:rPr>
        <w:t>按照预算管理有关规定，目前</w:t>
      </w:r>
      <w:r>
        <w:rPr>
          <w:rFonts w:hint="eastAsia" w:ascii="Times New Roman" w:hAnsi="Times New Roman" w:eastAsia="仿宋" w:cs="Times New Roman"/>
          <w:sz w:val="32"/>
          <w:szCs w:val="32"/>
        </w:rPr>
        <w:t>农牧</w:t>
      </w:r>
      <w:r>
        <w:rPr>
          <w:rFonts w:ascii="Times New Roman" w:hAnsi="Times New Roman" w:eastAsia="仿宋" w:cs="Times New Roman"/>
          <w:sz w:val="32"/>
          <w:szCs w:val="32"/>
        </w:rPr>
        <w:t>部门预算的编制实行综合预算制度，即全部收入和支出都反映</w:t>
      </w:r>
      <w:r>
        <w:rPr>
          <w:rFonts w:hint="eastAsia" w:ascii="Times New Roman" w:hAnsi="Times New Roman" w:eastAsia="仿宋" w:cs="Times New Roman"/>
          <w:sz w:val="32"/>
          <w:szCs w:val="32"/>
        </w:rPr>
        <w:t>在</w:t>
      </w:r>
      <w:r>
        <w:rPr>
          <w:rFonts w:ascii="Times New Roman" w:hAnsi="Times New Roman" w:eastAsia="仿宋" w:cs="Times New Roman"/>
          <w:sz w:val="32"/>
          <w:szCs w:val="32"/>
        </w:rPr>
        <w:t>预算中。</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收入说明</w:t>
      </w:r>
    </w:p>
    <w:p>
      <w:pPr>
        <w:ind w:firstLine="630"/>
        <w:jc w:val="left"/>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反应本部门当年全部收入。2018年预算收入</w:t>
      </w:r>
      <w:r>
        <w:rPr>
          <w:rFonts w:hint="eastAsia" w:ascii="仿宋_GB2312" w:hAnsi="仿宋_GB2312" w:eastAsia="仿宋_GB2312" w:cs="仿宋_GB2312"/>
          <w:color w:val="000000"/>
          <w:kern w:val="0"/>
          <w:sz w:val="32"/>
          <w:szCs w:val="32"/>
        </w:rPr>
        <w:t>4061.64</w:t>
      </w:r>
      <w:r>
        <w:rPr>
          <w:rFonts w:hint="eastAsia" w:ascii="Times New Roman" w:hAnsi="Times New Roman" w:eastAsia="仿宋" w:cs="Times New Roman"/>
          <w:sz w:val="32"/>
          <w:szCs w:val="32"/>
        </w:rPr>
        <w:t>万元，均为一般公共预算收入。</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支出说明</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收支预算总表支出栏、基本支出表、项目支出表按经济分类和支出功能分类科目编制，反映怀来县农牧部门预算中支出预算的总体情况。2018年农牧部门支出预算为4061.64万元，其中基本支出2061.37万元，包括人员经费2007.84万元和日常公用经费53.53万元；项目支出2000.27万元，主要为行政运行200万元、科技转化与推广服务支出10万元、病虫害控制70万元、农业生产支持补贴470万元、农业资源保护修复与利用549万元、其他农业支出701.27万元。</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比上年增减情况</w:t>
      </w:r>
    </w:p>
    <w:p>
      <w:pPr>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2018年，部门预算收入预算4061.64万元，较去年预算2098.56万元（农业936.7万元，畜牧1161.86万元）增加93.54%，为1963.08万元。较去年决算3371.26万元（农业2188.34万元，畜牧1182.92万元）增加20.48%，为690.38万元。增加的原因为农业专项资金项目资金的增多。</w:t>
      </w:r>
    </w:p>
    <w:p>
      <w:pPr>
        <w:ind w:firstLine="56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2018年，部门预算支出预算4061.64万元，较去年预算2098.56万元（农业936.7万元，畜牧1161.86万元）增加93.54%，为1963.08万元。较去年决算2407.68万元（农业1287.5万元，畜牧1120.18万元）增加68.7%，为1653.96万元。增加的原因为农业专项资金项目资金的增多。</w:t>
      </w:r>
    </w:p>
    <w:p>
      <w:pPr>
        <w:ind w:firstLine="640"/>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adjustRightInd w:val="0"/>
        <w:snapToGrid w:val="0"/>
        <w:spacing w:line="60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2018年，我部门机关运行经费共计安排</w:t>
      </w:r>
      <w:r>
        <w:rPr>
          <w:rFonts w:hint="eastAsia" w:ascii="仿宋_GB2312" w:eastAsia="仿宋_GB2312" w:cs="仿宋_GB2312"/>
          <w:bCs/>
          <w:sz w:val="32"/>
          <w:szCs w:val="32"/>
        </w:rPr>
        <w:t>325000</w:t>
      </w:r>
      <w:r>
        <w:rPr>
          <w:rFonts w:hint="eastAsia" w:ascii="Times New Roman" w:hAnsi="Times New Roman" w:eastAsia="仿宋" w:cs="Times New Roman"/>
          <w:sz w:val="32"/>
          <w:szCs w:val="32"/>
        </w:rPr>
        <w:t>元，</w:t>
      </w:r>
      <w:r>
        <w:rPr>
          <w:rFonts w:hint="eastAsia" w:ascii="仿宋_GB2312" w:eastAsia="仿宋_GB2312" w:cs="仿宋_GB2312"/>
          <w:bCs/>
          <w:sz w:val="32"/>
          <w:szCs w:val="32"/>
        </w:rPr>
        <w:t>其中：办公及印刷费325000元、邮电费0元、差旅费0元、会议费0元、福利费0元、日常维修费0元、专用材料费0元、一般设备购置费0元、水电费0元、取暖费0元、物业管理费0元、公务用车运行维护费0元、其他费用0元。</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2018年，农牧部门财政拨款“三公”经费预算安排21.03万元，其中：因公出国（境）费0万元；公务用车购置及运维费0万元（其中：公务用车运行维护费0万元，公务用车购置费0万元)；公务接待费21.03万元。</w:t>
      </w:r>
    </w:p>
    <w:p>
      <w:pPr>
        <w:adjustRightInd w:val="0"/>
        <w:snapToGrid w:val="0"/>
        <w:spacing w:line="600" w:lineRule="exact"/>
        <w:ind w:firstLine="640" w:firstLineChars="200"/>
        <w:jc w:val="left"/>
        <w:rPr>
          <w:rFonts w:ascii="仿宋_GB2312" w:eastAsia="仿宋_GB2312" w:cs="仿宋_GB2312"/>
          <w:bCs/>
          <w:sz w:val="32"/>
          <w:szCs w:val="32"/>
        </w:rPr>
      </w:pPr>
      <w:r>
        <w:rPr>
          <w:rFonts w:hint="eastAsia" w:ascii="仿宋_GB2312" w:eastAsia="仿宋_GB2312" w:cs="仿宋_GB2312"/>
          <w:bCs/>
          <w:sz w:val="32"/>
          <w:szCs w:val="32"/>
        </w:rPr>
        <w:t>2018年“三公”经费增减变化情况说明：</w:t>
      </w:r>
    </w:p>
    <w:p>
      <w:pPr>
        <w:ind w:firstLine="640" w:firstLineChars="200"/>
        <w:rPr>
          <w:rFonts w:ascii="仿宋_GB2312" w:eastAsia="仿宋_GB2312" w:cs="仿宋_GB2312"/>
          <w:bCs/>
          <w:sz w:val="32"/>
          <w:szCs w:val="32"/>
        </w:rPr>
      </w:pPr>
      <w:r>
        <w:rPr>
          <w:rFonts w:ascii="仿宋_GB2312" w:eastAsia="仿宋_GB2312" w:cs="仿宋_GB2312"/>
          <w:bCs/>
          <w:sz w:val="32"/>
          <w:szCs w:val="32"/>
        </w:rPr>
        <w:t>1</w:t>
      </w:r>
      <w:r>
        <w:rPr>
          <w:rFonts w:hint="eastAsia" w:ascii="仿宋_GB2312" w:eastAsia="仿宋_GB2312" w:cs="仿宋_GB2312"/>
          <w:bCs/>
          <w:sz w:val="32"/>
          <w:szCs w:val="32"/>
        </w:rPr>
        <w:t>、因公出国（境）团组情况：本单位因公出国的管理工作规范化，根据本部门实际情况本年度安排的出国（境）团组</w:t>
      </w:r>
      <w:r>
        <w:rPr>
          <w:rFonts w:ascii="仿宋_GB2312" w:eastAsia="仿宋_GB2312" w:cs="仿宋_GB2312"/>
          <w:bCs/>
          <w:sz w:val="32"/>
          <w:szCs w:val="32"/>
        </w:rPr>
        <w:t>0</w:t>
      </w:r>
      <w:r>
        <w:rPr>
          <w:rFonts w:hint="eastAsia" w:ascii="仿宋_GB2312" w:eastAsia="仿宋_GB2312" w:cs="仿宋_GB2312"/>
          <w:bCs/>
          <w:sz w:val="32"/>
          <w:szCs w:val="32"/>
        </w:rPr>
        <w:t>个；参加其他单位组织的出国（境）团组</w:t>
      </w:r>
      <w:r>
        <w:rPr>
          <w:rFonts w:ascii="仿宋_GB2312" w:eastAsia="仿宋_GB2312" w:cs="仿宋_GB2312"/>
          <w:bCs/>
          <w:sz w:val="32"/>
          <w:szCs w:val="32"/>
        </w:rPr>
        <w:t>0</w:t>
      </w:r>
      <w:r>
        <w:rPr>
          <w:rFonts w:hint="eastAsia" w:ascii="仿宋_GB2312" w:eastAsia="仿宋_GB2312" w:cs="仿宋_GB2312"/>
          <w:bCs/>
          <w:sz w:val="32"/>
          <w:szCs w:val="32"/>
        </w:rPr>
        <w:t>个；全年出国（境）累计</w:t>
      </w:r>
      <w:r>
        <w:rPr>
          <w:rFonts w:ascii="仿宋_GB2312" w:eastAsia="仿宋_GB2312" w:cs="仿宋_GB2312"/>
          <w:bCs/>
          <w:sz w:val="32"/>
          <w:szCs w:val="32"/>
        </w:rPr>
        <w:t>0</w:t>
      </w:r>
      <w:r>
        <w:rPr>
          <w:rFonts w:hint="eastAsia" w:ascii="仿宋_GB2312" w:eastAsia="仿宋_GB2312" w:cs="仿宋_GB2312"/>
          <w:bCs/>
          <w:sz w:val="32"/>
          <w:szCs w:val="32"/>
        </w:rPr>
        <w:t>人次；与上年预算持平，与上年决算无增减变化。</w:t>
      </w:r>
    </w:p>
    <w:p>
      <w:pPr>
        <w:ind w:firstLine="640" w:firstLineChars="200"/>
        <w:rPr>
          <w:rFonts w:ascii="仿宋_GB2312" w:eastAsia="仿宋_GB2312" w:cs="仿宋_GB2312"/>
          <w:bCs/>
          <w:sz w:val="32"/>
          <w:szCs w:val="32"/>
        </w:rPr>
      </w:pPr>
      <w:r>
        <w:rPr>
          <w:rFonts w:ascii="仿宋_GB2312" w:eastAsia="仿宋_GB2312" w:cs="仿宋_GB2312"/>
          <w:bCs/>
          <w:sz w:val="32"/>
          <w:szCs w:val="32"/>
        </w:rPr>
        <w:t>2</w:t>
      </w:r>
      <w:r>
        <w:rPr>
          <w:rFonts w:hint="eastAsia" w:ascii="仿宋_GB2312" w:eastAsia="仿宋_GB2312" w:cs="仿宋_GB2312"/>
          <w:bCs/>
          <w:sz w:val="32"/>
          <w:szCs w:val="32"/>
        </w:rPr>
        <w:t>、公务用车购置及保有情况：本年度本单位使用公共预算财政拨款购置公务用车</w:t>
      </w:r>
      <w:r>
        <w:rPr>
          <w:rFonts w:ascii="仿宋_GB2312" w:eastAsia="仿宋_GB2312" w:cs="仿宋_GB2312"/>
          <w:bCs/>
          <w:sz w:val="32"/>
          <w:szCs w:val="32"/>
        </w:rPr>
        <w:t>0</w:t>
      </w:r>
      <w:r>
        <w:rPr>
          <w:rFonts w:hint="eastAsia" w:ascii="仿宋_GB2312" w:eastAsia="仿宋_GB2312" w:cs="仿宋_GB2312"/>
          <w:bCs/>
          <w:sz w:val="32"/>
          <w:szCs w:val="32"/>
        </w:rPr>
        <w:t>辆，无变化。年末，公共预算财政拨款开支运行维护费的公务用车保有量7辆（农业2辆、畜牧5辆）。主要用于日常公务使用。与上年预算持平，与上年决算相比较也无增减变化。</w:t>
      </w:r>
    </w:p>
    <w:p>
      <w:pPr>
        <w:adjustRightInd w:val="0"/>
        <w:snapToGrid w:val="0"/>
        <w:spacing w:line="600" w:lineRule="exact"/>
        <w:ind w:firstLine="640" w:firstLineChars="200"/>
        <w:jc w:val="left"/>
        <w:rPr>
          <w:rFonts w:ascii="仿宋_GB2312" w:eastAsia="仿宋_GB2312" w:cs="仿宋_GB2312"/>
          <w:bCs/>
          <w:sz w:val="32"/>
          <w:szCs w:val="32"/>
        </w:rPr>
      </w:pPr>
      <w:r>
        <w:rPr>
          <w:rFonts w:ascii="仿宋_GB2312" w:eastAsia="仿宋_GB2312" w:cs="仿宋_GB2312"/>
          <w:bCs/>
          <w:sz w:val="32"/>
          <w:szCs w:val="32"/>
        </w:rPr>
        <w:t>3</w:t>
      </w:r>
      <w:r>
        <w:rPr>
          <w:rFonts w:hint="eastAsia" w:ascii="仿宋_GB2312" w:eastAsia="仿宋_GB2312" w:cs="仿宋_GB2312"/>
          <w:bCs/>
          <w:sz w:val="32"/>
          <w:szCs w:val="32"/>
        </w:rPr>
        <w:t>、公务接待情况：本年度单位公务接待预算21.03万元，上年度公务接待费预算数为1.8万元（农业0.3万元、畜牧1.5万元），较上年度预算增加1068.33</w:t>
      </w:r>
      <w:r>
        <w:rPr>
          <w:rFonts w:ascii="仿宋_GB2312" w:eastAsia="仿宋_GB2312" w:cs="仿宋_GB2312"/>
          <w:bCs/>
          <w:sz w:val="32"/>
          <w:szCs w:val="32"/>
        </w:rPr>
        <w:t>%</w:t>
      </w:r>
      <w:r>
        <w:rPr>
          <w:rFonts w:hint="eastAsia" w:ascii="仿宋_GB2312" w:eastAsia="仿宋_GB2312" w:cs="仿宋_GB2312"/>
          <w:bCs/>
          <w:sz w:val="32"/>
          <w:szCs w:val="32"/>
        </w:rPr>
        <w:t>、19.23万元，上年度决算公务接待费1.3万元，比上年度决算增加1517.69%、19.73万元，增加</w:t>
      </w:r>
      <w:r>
        <w:rPr>
          <w:rFonts w:hint="eastAsia" w:ascii="仿宋_GB2312" w:eastAsia="仿宋_GB2312" w:cs="仿宋_GB2312"/>
          <w:bCs/>
          <w:sz w:val="32"/>
          <w:szCs w:val="32"/>
          <w:lang w:eastAsia="zh-CN"/>
        </w:rPr>
        <w:t>原因是</w:t>
      </w:r>
      <w:r>
        <w:rPr>
          <w:rFonts w:hint="eastAsia" w:ascii="仿宋_GB2312" w:eastAsia="仿宋_GB2312" w:cs="仿宋_GB2312"/>
          <w:bCs/>
          <w:sz w:val="32"/>
          <w:szCs w:val="32"/>
        </w:rPr>
        <w:t>接待费结算方式的改变，即2017年单位产生的接待费由政府部门统一结算，2018年预算编制工作中把接待费编制到单位，由单位独立结算，因此造成接待费比上年预算决算均增加。</w:t>
      </w:r>
    </w:p>
    <w:p>
      <w:pPr>
        <w:ind w:firstLine="640" w:firstLineChars="200"/>
        <w:rPr>
          <w:rFonts w:ascii="仿宋_GB2312" w:eastAsia="仿宋_GB2312" w:cs="仿宋_GB2312"/>
          <w:bCs/>
          <w:sz w:val="32"/>
          <w:szCs w:val="32"/>
        </w:rPr>
      </w:pPr>
      <w:r>
        <w:rPr>
          <w:rFonts w:ascii="仿宋_GB2312" w:eastAsia="仿宋_GB2312" w:cs="仿宋_GB2312"/>
          <w:bCs/>
          <w:sz w:val="32"/>
          <w:szCs w:val="32"/>
        </w:rPr>
        <w:t>4</w:t>
      </w:r>
      <w:r>
        <w:rPr>
          <w:rFonts w:hint="eastAsia" w:ascii="仿宋_GB2312" w:eastAsia="仿宋_GB2312" w:cs="仿宋_GB2312"/>
          <w:bCs/>
          <w:sz w:val="32"/>
          <w:szCs w:val="32"/>
        </w:rPr>
        <w:t>、公务用车购置费：本年度车辆购置费为</w:t>
      </w:r>
      <w:r>
        <w:rPr>
          <w:rFonts w:ascii="仿宋_GB2312" w:eastAsia="仿宋_GB2312" w:cs="仿宋_GB2312"/>
          <w:bCs/>
          <w:sz w:val="32"/>
          <w:szCs w:val="32"/>
        </w:rPr>
        <w:t>0</w:t>
      </w:r>
      <w:r>
        <w:rPr>
          <w:rFonts w:hint="eastAsia" w:ascii="仿宋_GB2312" w:eastAsia="仿宋_GB2312" w:cs="仿宋_GB2312"/>
          <w:bCs/>
          <w:sz w:val="32"/>
          <w:szCs w:val="32"/>
        </w:rPr>
        <w:t>元。与本年预算持平，与上年决算相比较也无增减变化。</w:t>
      </w:r>
    </w:p>
    <w:p>
      <w:pPr>
        <w:ind w:firstLine="640" w:firstLineChars="200"/>
        <w:rPr>
          <w:rFonts w:ascii="Times New Roman" w:hAnsi="Times New Roman" w:eastAsia="仿宋" w:cs="Times New Roman"/>
          <w:sz w:val="32"/>
          <w:szCs w:val="32"/>
        </w:rPr>
      </w:pPr>
      <w:r>
        <w:rPr>
          <w:rFonts w:ascii="仿宋_GB2312" w:eastAsia="仿宋_GB2312" w:cs="仿宋_GB2312"/>
          <w:bCs/>
          <w:sz w:val="32"/>
          <w:szCs w:val="32"/>
        </w:rPr>
        <w:t>5</w:t>
      </w:r>
      <w:r>
        <w:rPr>
          <w:rFonts w:hint="eastAsia" w:ascii="仿宋_GB2312" w:eastAsia="仿宋_GB2312" w:cs="仿宋_GB2312"/>
          <w:bCs/>
          <w:sz w:val="32"/>
          <w:szCs w:val="32"/>
        </w:rPr>
        <w:t>、公务用车运行费：本年度公务用车运行费预算0元，上年度公务用车运行费预算为8万元（农业0万元、畜牧8万元），较上年度预算减少100</w:t>
      </w:r>
      <w:r>
        <w:rPr>
          <w:rFonts w:ascii="仿宋_GB2312" w:eastAsia="仿宋_GB2312" w:cs="仿宋_GB2312"/>
          <w:bCs/>
          <w:sz w:val="32"/>
          <w:szCs w:val="32"/>
        </w:rPr>
        <w:t>%</w:t>
      </w:r>
      <w:r>
        <w:rPr>
          <w:rFonts w:hint="eastAsia" w:ascii="仿宋_GB2312" w:eastAsia="仿宋_GB2312" w:cs="仿宋_GB2312"/>
          <w:bCs/>
          <w:sz w:val="32"/>
          <w:szCs w:val="32"/>
        </w:rPr>
        <w:t>，上年公务用车决算为7.55万元（农业0万元、畜牧7.55万元），比上年决算减少100%。减少的主要原因是</w:t>
      </w:r>
      <w:r>
        <w:rPr>
          <w:rFonts w:ascii="仿宋_GB2312" w:eastAsia="仿宋_GB2312" w:cs="仿宋_GB2312"/>
          <w:bCs/>
          <w:sz w:val="32"/>
          <w:szCs w:val="32"/>
        </w:rPr>
        <w:t>201</w:t>
      </w:r>
      <w:r>
        <w:rPr>
          <w:rFonts w:hint="eastAsia" w:ascii="仿宋_GB2312" w:eastAsia="仿宋_GB2312" w:cs="仿宋_GB2312"/>
          <w:bCs/>
          <w:sz w:val="32"/>
          <w:szCs w:val="32"/>
        </w:rPr>
        <w:t>6年度开始进行行政单位公务车辆改革，公务用车运行费支出相应消失。</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tbl>
      <w:tblPr>
        <w:tblStyle w:val="7"/>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jc w:val="center"/>
              <w:outlineLvl w:val="0"/>
              <w:rPr>
                <w:rFonts w:ascii="方正小标宋_GBK" w:eastAsia="方正小标宋_GBK"/>
                <w:sz w:val="32"/>
              </w:rPr>
            </w:pPr>
            <w:r>
              <w:rPr>
                <w:rFonts w:hint="eastAsia" w:ascii="方正小标宋_GBK" w:eastAsia="方正小标宋_GBK"/>
                <w:sz w:val="32"/>
              </w:rPr>
              <w:t xml:space="preserve">                      部门职责-工作活动绩效目标</w:t>
            </w:r>
          </w:p>
          <w:p>
            <w:pPr>
              <w:spacing w:line="300" w:lineRule="exact"/>
              <w:jc w:val="left"/>
              <w:rPr>
                <w:rFonts w:ascii="方正小标宋_GBK" w:eastAsia="方正小标宋_GBK"/>
                <w:sz w:val="24"/>
              </w:rPr>
            </w:pPr>
          </w:p>
          <w:p>
            <w:pPr>
              <w:spacing w:line="300" w:lineRule="exact"/>
              <w:jc w:val="left"/>
              <w:rPr>
                <w:rFonts w:ascii="方正小标宋_GBK" w:eastAsia="方正小标宋_GBK"/>
                <w:sz w:val="24"/>
              </w:rPr>
            </w:pPr>
            <w:r>
              <w:rPr>
                <w:rFonts w:ascii="方正小标宋_GBK" w:eastAsia="方正小标宋_GBK"/>
                <w:sz w:val="24"/>
              </w:rPr>
              <w:t>326</w:t>
            </w:r>
            <w:r>
              <w:rPr>
                <w:rFonts w:hint="eastAsia" w:ascii="方正小标宋_GBK" w:eastAsia="方正小标宋_GBK"/>
                <w:sz w:val="24"/>
              </w:rPr>
              <w:t xml:space="preserve">怀来县农牧管理部门                                                         </w:t>
            </w:r>
            <w:r>
              <w:rPr>
                <w:rFonts w:hint="eastAsia" w:ascii="方正书宋_GBK" w:eastAsia="方正书宋_GBK"/>
                <w:sz w:val="24"/>
              </w:rPr>
              <w:t>单位：万元</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一、扶持农畜产品生产</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对农牧生产者采取直接补贴的办法，支持推广优良品种、先进适用种植养殖技术，实施科学管理</w:t>
            </w:r>
            <w:r>
              <w:rPr>
                <w:rFonts w:ascii="方正书宋_GBK" w:eastAsia="方正书宋_GBK"/>
              </w:rPr>
              <w:t>,</w:t>
            </w:r>
            <w:r>
              <w:rPr>
                <w:rFonts w:hint="eastAsia" w:ascii="方正书宋_GBK" w:eastAsia="方正书宋_GBK"/>
              </w:rPr>
              <w:t>提高农畜产品产量、质量，提高生产经营效益。</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提高农畜产品产量和质量，优化农牧业产业结构，提高经济效益，增加农民和养殖户收入。</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、实施玉米良种补贴</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按照国家、县部署，对全县玉米生产实施良种补贴。</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玉米良种补贴全覆盖。</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良种补贴覆盖率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、实施畜牧水产良种补贴</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按照国家、县部署，对全县主要粮食作物和猪、牛、羊、鸡等畜产品生产实施良种补贴。</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畜牧、水产品种优良化率持续提高</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推广优良种公羊和优质奶牛、肉牛冻精以及种猪常温精液数量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、开展玉米高产创建</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实施玉米高产创建项目，建设玉米等作物高产万亩示范方，通过展示优良品种、集成配套高产栽培技术，辐射带动大面积的平衡增产，提高单产水平。</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提高粮食等作物高产万亩示范方优良品种率和单产水平</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亩单产增长率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、实施菜篮子工程</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依据县政府出台的设施农业扶持政策以及省市水果、蔬菜标准园创建活动，重点扶持一批有规模、生产技术基础好、区域优势突出、在增加产量和提高质量上有示范带动作用的农产品生产基地。通过改善生产条件，加强产品质量管理，强化品牌建设，大力推进标准化、集约化、现代化生产。</w:t>
            </w:r>
            <w:r>
              <w:rPr>
                <w:rFonts w:ascii="方正书宋_GBK" w:eastAsia="方正书宋_GBK"/>
              </w:rPr>
              <w:t>2</w:t>
            </w:r>
            <w:r>
              <w:rPr>
                <w:rFonts w:hint="eastAsia" w:ascii="方正书宋_GBK" w:eastAsia="方正书宋_GBK"/>
              </w:rPr>
              <w:t>重点扶持一批有规模、生产技术基础好、区域优势突出、在增加产量和提高质量上有示范带动作用的畜产品生产基地。通过改善生产条件，加强产品质量管理，强化品牌建设，大力推进标准化、集约化、现代化生产</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w:t>
            </w:r>
            <w:r>
              <w:rPr>
                <w:rFonts w:hint="cs" w:ascii="方正书宋_GBK" w:eastAsia="方正书宋_GBK"/>
              </w:rPr>
              <w:t>“</w:t>
            </w:r>
            <w:r>
              <w:rPr>
                <w:rFonts w:hint="eastAsia" w:ascii="方正书宋_GBK" w:eastAsia="方正书宋_GBK"/>
              </w:rPr>
              <w:t>菜篮子</w:t>
            </w:r>
            <w:r>
              <w:rPr>
                <w:rFonts w:hint="cs" w:ascii="方正书宋_GBK" w:eastAsia="方正书宋_GBK"/>
              </w:rPr>
              <w:t>”</w:t>
            </w:r>
            <w:r>
              <w:rPr>
                <w:rFonts w:hint="eastAsia" w:ascii="方正书宋_GBK" w:eastAsia="方正书宋_GBK"/>
              </w:rPr>
              <w:t>产品生产向规模化、园区化、设施化、标准化和产销一体化发展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果蔬标准园创建完成率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完成畜禽标准化健康养殖规模场改造任务</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、扶持乳粉业发展</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贯彻落实国家和县政府（冀政办</w:t>
            </w:r>
            <w:r>
              <w:rPr>
                <w:rFonts w:ascii="方正书宋_GBK" w:eastAsia="方正书宋_GBK"/>
              </w:rPr>
              <w:t>[2013]57</w:t>
            </w:r>
            <w:r>
              <w:rPr>
                <w:rFonts w:hint="eastAsia" w:ascii="方正书宋_GBK" w:eastAsia="方正书宋_GBK"/>
              </w:rPr>
              <w:t>号）有关规定，扶持为生产乳粉提供奶源的奶牛养殖场实施标准化建设，扶持优质苜蓿基地建设。</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提升奶牛标准化规模养殖水平，提高奶牛单产水平及生鲜乳蛋白含量、乳脂率，打造一流奶源基地。</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生产乳粉用泌乳牛增加量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万头以上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万头及以上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万头及以上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万头以下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移植高产奶牛胚胎数量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万枚以上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万枚及以上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万枚及以上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万枚以下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种植优质苜蓿数量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万亩</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万亩</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万亩</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万亩以下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种植优质青贮玉米数量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万亩以上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万亩及以上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万亩及以上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万亩以下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6</w:t>
            </w:r>
            <w:r>
              <w:rPr>
                <w:rFonts w:hint="eastAsia" w:ascii="方正书宋_GBK" w:eastAsia="方正书宋_GBK"/>
                <w:b/>
              </w:rPr>
              <w:t>、渔业养殖示范</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支持推广先进养殖技术，建设渔业标准化示范场和现代渔业示范区。</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提升优质水产品产量</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健康养殖示范场增长量（面积，库存、万亩）和增长率（</w:t>
            </w:r>
            <w:r>
              <w:rPr>
                <w:rFonts w:ascii="方正书宋_GBK" w:eastAsia="方正书宋_GBK"/>
              </w:rPr>
              <w:t>%</w:t>
            </w:r>
            <w:r>
              <w:rPr>
                <w:rFonts w:hint="eastAsia" w:ascii="方正书宋_GBK" w:eastAsia="方正书宋_GBK"/>
              </w:rPr>
              <w:t>）</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12%</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标准化示范区平均亩增产量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良种覆盖增长率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二、支持农牧业产业化</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组织实施农牧业产业化经营的发展规划与政策，支持农牧业企业，加快全县农牧业产业化发展。</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拉伸农牧业产业链条，提升农畜产品附加值，增加农民和养殖户收入，创造县域经济发展新增长点。</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、实施农业产业化专项补助</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通过政策资金引导，培育全县名优特农产品品牌，加快建设农产品加工流通，通过构建电子商务平台对现有农业产业提档升级，建立健全农业物流体系。</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支持农产品精深加工、规模化种植及冷链物流建设，支持粮油、果品精深加工和营销。</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产业化经营率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、实施畜牧业产业化专项补助</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通过政策资金引导，加快建设畜产品加工和大型物流项目。</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支持乳制品加工及标准化现代牧场建设，支持肉类产品精深加工、规模化养殖及冷链物流建设。</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产业化经营率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64.5%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62.5%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62.5%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三、农业资源休养生息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1124.00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按照可持续发展和建设生态农业的要求，保护农业资源，改善和保护农村环境。</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建设生态农业，改善农村环境，实现农业可持续发展。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、农业土壤污染治理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开展农产品产地重金属面源污染防治工作。进行土壤样品的制备和监测，根据监测结果编制农产品产地安全情况分析报告，开展农产品产地重金属污染修复示范。</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建立健全农产品产地重金属污染防治工作机制，全面掌握农产品产地安全情况，指导全县开展土地污染修复。</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年度监测任务完成率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、实施玉米秸秆综合利用</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455.00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对玉米秸秆进行肥料化利用、饲料化利用、能源化利用、基料化利用。</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建立健全农产品产地重金属污染防治工作机制，全面掌握农产品产地安全情况，指导全市开展土地污染修复。</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玉米秸秆综合利用率达到</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示范任务完成率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、实施耕地保护与质量提升补助</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120.00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对农民、种植大户和农机合作组织的玉米秸秆粉碎还田作业进行补助。</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改良土壤，培肥地力。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玉米秸秆粉碎还田作业</w:t>
            </w:r>
            <w:r>
              <w:rPr>
                <w:rFonts w:ascii="方正书宋_GBK" w:eastAsia="方正书宋_GBK"/>
              </w:rPr>
              <w:t>4</w:t>
            </w:r>
            <w:r>
              <w:rPr>
                <w:rFonts w:hint="eastAsia" w:ascii="方正书宋_GBK" w:eastAsia="方正书宋_GBK"/>
              </w:rPr>
              <w:t>万亩</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、草原生态保护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549.00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建立全县草原生态保护奖补机制，对按规定实行草原禁牧的牧户给予补偿和奖励。</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保护草原生态，修复已破坏的草原植被</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草原植被修复完成率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草原生态保护奖补政策落实率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、渔业资源增殖与保护</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对海洋水域增殖放流中国对虾、三疣梭子蟹、褐牙鲆、贝类等品种；内陆水域主要增殖放流鲢、鲤、鲫、池沼公鱼、河蟹、青虾、中华鳖等品种。</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修复和改善水域生态环境，增加和保持水生生物多样性</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渔业资源增殖放流完成率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渔业资源调查完成情况</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四、农业科技支撑和公共服务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486.27</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提高农业机械化水平，建立健全农业科技服务和防灾减灾体系，推动农业生产向现代农业发展。</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促进农业现代化，提高农业劳动生产率，增加农民收入。</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、实施农机购置补贴</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355.00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对农民和种植大户、农机合作组织购置农业机械进行补贴。</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提高农业机械化水平</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玉米机收率达到</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、主要农作物新品种推广</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开展主要农作物种子质量监督抽检，对种子生产田进行田间检验，结合玉米良种补贴和杂交谷子种植示范项目推广新品种，确保农民用上</w:t>
            </w:r>
            <w:r>
              <w:rPr>
                <w:rFonts w:hint="cs" w:ascii="方正书宋_GBK" w:eastAsia="方正书宋_GBK"/>
              </w:rPr>
              <w:t>“</w:t>
            </w:r>
            <w:r>
              <w:rPr>
                <w:rFonts w:hint="eastAsia" w:ascii="方正书宋_GBK" w:eastAsia="方正书宋_GBK"/>
              </w:rPr>
              <w:t>放心种</w:t>
            </w:r>
            <w:r>
              <w:rPr>
                <w:rFonts w:hint="cs" w:ascii="方正书宋_GBK" w:eastAsia="方正书宋_GBK"/>
              </w:rPr>
              <w:t>”</w:t>
            </w:r>
            <w:r>
              <w:rPr>
                <w:rFonts w:hint="eastAsia" w:ascii="方正书宋_GBK" w:eastAsia="方正书宋_GBK"/>
              </w:rPr>
              <w:t>。</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为农业生产提供优良新品种</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玉米、谷子优良品种覆盖率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97%</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92%</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92%</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、农业基层推广体系改革与建设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健全农业基层推广体系</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建设两个区域站</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每个区域站</w:t>
            </w:r>
            <w:r>
              <w:rPr>
                <w:rFonts w:ascii="方正书宋_GBK" w:eastAsia="方正书宋_GBK"/>
              </w:rPr>
              <w:t>300</w:t>
            </w:r>
            <w:r>
              <w:rPr>
                <w:rFonts w:hint="eastAsia" w:ascii="方正书宋_GBK" w:eastAsia="方正书宋_GBK"/>
              </w:rPr>
              <w:t>平米</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50%</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、植物疫病防控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完善以县植保站为中心的覆盖全县的植物疫情监测体系，开展农作物病虫害预警与防控，及时发布《病虫情报》等疫情报告，严格植物产地、调运检疫及有害生物普查等工作。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确保疫情发布及时准确，有效降低疫情危害，保障农业生产健康发展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植物疫情监测目标完成率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、农产品质量安全体系建设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实施农产品质量安全检验检测站项目，组织开展农产品质量安全的监督检查。开展农产品质量追溯体系建设，创建农产品质量安全示范县。</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加强农资市场和蔬菜基地的监督检查，对主要蔬菜基地重点蔬菜品种进行检测。开展农产品质量追溯，确保农产品质量。</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农业投入品监督检查及主要蔬菜基地重点蔬菜品种检测完成率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98%</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93%</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6</w:t>
            </w:r>
            <w:r>
              <w:rPr>
                <w:rFonts w:hint="eastAsia" w:ascii="方正书宋_GBK" w:eastAsia="方正书宋_GBK"/>
                <w:b/>
              </w:rPr>
              <w:t>、农业信息服务</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组织开展农业情况统计、上报、发布。</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发挥动植物监测、防疫和检疫体系作用，有效降低疫病危害，保障畜牧业健康发展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信息制作发布任务完成率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突发植物疫情处置率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7</w:t>
            </w:r>
            <w:r>
              <w:rPr>
                <w:rFonts w:hint="eastAsia" w:ascii="方正书宋_GBK" w:eastAsia="方正书宋_GBK"/>
                <w:b/>
              </w:rPr>
              <w:t>、农业教育与技能培训</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按照国家部署，组织开展职业教育和新型职业农民教育培训。</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加强农产品及农用化肥、药品监督检测，保障农产品质量，确保食品安全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新型职业农民培育完成率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重大农产品质量安全事件发生率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及以下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及以下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8</w:t>
            </w:r>
            <w:r>
              <w:rPr>
                <w:rFonts w:hint="eastAsia" w:ascii="方正书宋_GBK" w:eastAsia="方正书宋_GBK"/>
                <w:b/>
              </w:rPr>
              <w:t>、农业技术推广与研究</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开展测土配方施肥、杂交谷子种植新技术示范、推广。</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推广测土配方施肥，提高土壤肥力；推广杂交谷子种植新技术，提高谷子产量和品质。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新技术推广完成率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9</w:t>
            </w:r>
            <w:r>
              <w:rPr>
                <w:rFonts w:hint="eastAsia" w:ascii="方正书宋_GBK" w:eastAsia="方正书宋_GBK"/>
                <w:b/>
              </w:rPr>
              <w:t>、低毒、生物农药示范补助</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开展低毒、生物农药示范补助</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开展低毒生物农药示范推广补助，提高农产品质量安全水平。</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新技术推广完成率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10</w:t>
            </w:r>
            <w:r>
              <w:rPr>
                <w:rFonts w:hint="eastAsia" w:ascii="方正书宋_GBK" w:eastAsia="方正书宋_GBK"/>
                <w:b/>
              </w:rPr>
              <w:t>、生态防控集成技术推广</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建设以推广病虫害生态防控为主的专家团队，在全县适宜区域内进行推广。</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发挥农业科技支撑作用，通过新技术成果的展示，辐射带动全市适宜区域的农业行业技术推广应用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降低化学农药使用量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新技术应用效益综合提升率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11</w:t>
            </w:r>
            <w:r>
              <w:rPr>
                <w:rFonts w:hint="eastAsia" w:ascii="方正书宋_GBK" w:eastAsia="方正书宋_GBK"/>
                <w:b/>
              </w:rPr>
              <w:t>、农业防灾减灾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监测、发布农业灾情，组织种子、化肥等救灾物资储备和调拨，指导紧急救灾和灾后生产恢复。</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及时准确报告、发布农业灾情，组织指导紧急救灾和灾后生产恢复。</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救灾措施到位率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准确、及时报告灾情</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12</w:t>
            </w:r>
            <w:r>
              <w:rPr>
                <w:rFonts w:hint="eastAsia" w:ascii="方正书宋_GBK" w:eastAsia="方正书宋_GBK"/>
                <w:b/>
              </w:rPr>
              <w:t>、畜牧良种繁育体系建设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对奶牛、肉用种牛、种公猪开展生产性能测定，向社会推广优质的畜种。</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提高参加测定的奶牛场单产水平，加强种猪质量监管，选育良种肉用公牛。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完成奶牛生产性能测定数量，参加测定的奶牛场比测定前每头牛年产奶量平均增加数量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完成测定</w:t>
            </w:r>
            <w:r>
              <w:rPr>
                <w:rFonts w:ascii="方正书宋_GBK" w:eastAsia="方正书宋_GBK"/>
              </w:rPr>
              <w:t>12</w:t>
            </w:r>
            <w:r>
              <w:rPr>
                <w:rFonts w:hint="eastAsia" w:ascii="方正书宋_GBK" w:eastAsia="方正书宋_GBK"/>
              </w:rPr>
              <w:t>万头，参加测定的奶牛场单产水平提高</w:t>
            </w:r>
            <w:r>
              <w:rPr>
                <w:rFonts w:ascii="方正书宋_GBK" w:eastAsia="方正书宋_GBK"/>
              </w:rPr>
              <w:t>100</w:t>
            </w:r>
            <w:r>
              <w:rPr>
                <w:rFonts w:hint="eastAsia" w:ascii="方正书宋_GBK" w:eastAsia="方正书宋_GBK"/>
              </w:rPr>
              <w:t>公斤以上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完成测定</w:t>
            </w:r>
            <w:r>
              <w:rPr>
                <w:rFonts w:ascii="方正书宋_GBK" w:eastAsia="方正书宋_GBK"/>
              </w:rPr>
              <w:t>11</w:t>
            </w:r>
            <w:r>
              <w:rPr>
                <w:rFonts w:hint="eastAsia" w:ascii="方正书宋_GBK" w:eastAsia="方正书宋_GBK"/>
              </w:rPr>
              <w:t>万头及以上，参加测定的奶牛场单产水平提高</w:t>
            </w:r>
            <w:r>
              <w:rPr>
                <w:rFonts w:ascii="方正书宋_GBK" w:eastAsia="方正书宋_GBK"/>
              </w:rPr>
              <w:t>80-100</w:t>
            </w:r>
            <w:r>
              <w:rPr>
                <w:rFonts w:hint="eastAsia" w:ascii="方正书宋_GBK" w:eastAsia="方正书宋_GBK"/>
              </w:rPr>
              <w:t>公斤</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完成测定</w:t>
            </w:r>
            <w:r>
              <w:rPr>
                <w:rFonts w:ascii="方正书宋_GBK" w:eastAsia="方正书宋_GBK"/>
              </w:rPr>
              <w:t>10</w:t>
            </w:r>
            <w:r>
              <w:rPr>
                <w:rFonts w:hint="eastAsia" w:ascii="方正书宋_GBK" w:eastAsia="方正书宋_GBK"/>
              </w:rPr>
              <w:t>万头及以上，参加测定的奶牛场单产水平提高</w:t>
            </w:r>
            <w:r>
              <w:rPr>
                <w:rFonts w:ascii="方正书宋_GBK" w:eastAsia="方正书宋_GBK"/>
              </w:rPr>
              <w:t>60-80</w:t>
            </w:r>
            <w:r>
              <w:rPr>
                <w:rFonts w:hint="eastAsia" w:ascii="方正书宋_GBK" w:eastAsia="方正书宋_GBK"/>
              </w:rPr>
              <w:t>公斤</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完成测定</w:t>
            </w:r>
            <w:r>
              <w:rPr>
                <w:rFonts w:ascii="方正书宋_GBK" w:eastAsia="方正书宋_GBK"/>
              </w:rPr>
              <w:t>10</w:t>
            </w:r>
            <w:r>
              <w:rPr>
                <w:rFonts w:hint="eastAsia" w:ascii="方正书宋_GBK" w:eastAsia="方正书宋_GBK"/>
              </w:rPr>
              <w:t>万头以下或参加测定的奶牛场单产水平提高</w:t>
            </w:r>
            <w:r>
              <w:rPr>
                <w:rFonts w:ascii="方正书宋_GBK" w:eastAsia="方正书宋_GBK"/>
              </w:rPr>
              <w:t>60</w:t>
            </w:r>
            <w:r>
              <w:rPr>
                <w:rFonts w:hint="eastAsia" w:ascii="方正书宋_GBK" w:eastAsia="方正书宋_GBK"/>
              </w:rPr>
              <w:t>公斤以下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完成种猪生产性能测定数量和种猪常温精液产品抽样检测数量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600</w:t>
            </w:r>
            <w:r>
              <w:rPr>
                <w:rFonts w:hint="eastAsia" w:ascii="方正书宋_GBK" w:eastAsia="方正书宋_GBK"/>
              </w:rPr>
              <w:t>头种猪生产性能测定和</w:t>
            </w:r>
            <w:r>
              <w:rPr>
                <w:rFonts w:ascii="方正书宋_GBK" w:eastAsia="方正书宋_GBK"/>
              </w:rPr>
              <w:t>1600</w:t>
            </w:r>
            <w:r>
              <w:rPr>
                <w:rFonts w:hint="eastAsia" w:ascii="方正书宋_GBK" w:eastAsia="方正书宋_GBK"/>
              </w:rPr>
              <w:t>头种猪常温精液产品抽样检测</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550</w:t>
            </w:r>
            <w:r>
              <w:rPr>
                <w:rFonts w:hint="eastAsia" w:ascii="方正书宋_GBK" w:eastAsia="方正书宋_GBK"/>
              </w:rPr>
              <w:t>头及以上种猪生产性能测定和</w:t>
            </w:r>
            <w:r>
              <w:rPr>
                <w:rFonts w:ascii="方正书宋_GBK" w:eastAsia="方正书宋_GBK"/>
              </w:rPr>
              <w:t>1500</w:t>
            </w:r>
            <w:r>
              <w:rPr>
                <w:rFonts w:hint="eastAsia" w:ascii="方正书宋_GBK" w:eastAsia="方正书宋_GBK"/>
              </w:rPr>
              <w:t>头及以上种猪常温精液产品抽样检测</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500</w:t>
            </w:r>
            <w:r>
              <w:rPr>
                <w:rFonts w:hint="eastAsia" w:ascii="方正书宋_GBK" w:eastAsia="方正书宋_GBK"/>
              </w:rPr>
              <w:t>头及以上种猪生产性能测定和</w:t>
            </w:r>
            <w:r>
              <w:rPr>
                <w:rFonts w:ascii="方正书宋_GBK" w:eastAsia="方正书宋_GBK"/>
              </w:rPr>
              <w:t>1400</w:t>
            </w:r>
            <w:r>
              <w:rPr>
                <w:rFonts w:hint="eastAsia" w:ascii="方正书宋_GBK" w:eastAsia="方正书宋_GBK"/>
              </w:rPr>
              <w:t>头及以上种猪常温精液产品抽样检测</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500</w:t>
            </w:r>
            <w:r>
              <w:rPr>
                <w:rFonts w:hint="eastAsia" w:ascii="方正书宋_GBK" w:eastAsia="方正书宋_GBK"/>
              </w:rPr>
              <w:t>头以下种猪生产性能测定或</w:t>
            </w:r>
            <w:r>
              <w:rPr>
                <w:rFonts w:ascii="方正书宋_GBK" w:eastAsia="方正书宋_GBK"/>
              </w:rPr>
              <w:t>1400</w:t>
            </w:r>
            <w:r>
              <w:rPr>
                <w:rFonts w:hint="eastAsia" w:ascii="方正书宋_GBK" w:eastAsia="方正书宋_GBK"/>
              </w:rPr>
              <w:t>头以下种猪常温精液产品抽样检测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完成肉用公牛的性能测定数量。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50</w:t>
            </w:r>
            <w:r>
              <w:rPr>
                <w:rFonts w:hint="eastAsia" w:ascii="方正书宋_GBK" w:eastAsia="方正书宋_GBK"/>
              </w:rPr>
              <w:t>头肉用公牛的性能测定</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45</w:t>
            </w:r>
            <w:r>
              <w:rPr>
                <w:rFonts w:hint="eastAsia" w:ascii="方正书宋_GBK" w:eastAsia="方正书宋_GBK"/>
              </w:rPr>
              <w:t>头及以上肉用公牛的性能测定</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40</w:t>
            </w:r>
            <w:r>
              <w:rPr>
                <w:rFonts w:hint="eastAsia" w:ascii="方正书宋_GBK" w:eastAsia="方正书宋_GBK"/>
              </w:rPr>
              <w:t>头及以上肉用公牛的性能测定</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w:t>
            </w:r>
            <w:r>
              <w:rPr>
                <w:rFonts w:ascii="方正书宋_GBK" w:eastAsia="方正书宋_GBK"/>
              </w:rPr>
              <w:t>40</w:t>
            </w:r>
            <w:r>
              <w:rPr>
                <w:rFonts w:hint="eastAsia" w:ascii="方正书宋_GBK" w:eastAsia="方正书宋_GBK"/>
              </w:rPr>
              <w:t>头以下肉用公牛的性能测定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13</w:t>
            </w:r>
            <w:r>
              <w:rPr>
                <w:rFonts w:hint="eastAsia" w:ascii="方正书宋_GBK" w:eastAsia="方正书宋_GBK"/>
                <w:b/>
              </w:rPr>
              <w:t>、动物疫病防控</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101.27</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落实动物防疫检疫政策，建立完善动物防疫和检疫体系。组织开展动物的防疫检疫工作，发布疫情并组织扑灭。</w:t>
            </w:r>
          </w:p>
          <w:p>
            <w:pPr>
              <w:spacing w:line="300" w:lineRule="exact"/>
              <w:jc w:val="left"/>
              <w:rPr>
                <w:rFonts w:ascii="方正书宋_GBK" w:eastAsia="方正书宋_GBK"/>
              </w:rPr>
            </w:pPr>
            <w:r>
              <w:rPr>
                <w:rFonts w:hint="eastAsia" w:ascii="方正书宋_GBK" w:eastAsia="方正书宋_GBK"/>
              </w:rPr>
              <w:t>落实动植物防疫检疫政策，建立完善动植物防疫和检疫体系。组织开展动植物的防疫检疫工作，发布疫情并组织扑灭。</w:t>
            </w:r>
          </w:p>
          <w:p>
            <w:pPr>
              <w:spacing w:line="300" w:lineRule="exact"/>
              <w:jc w:val="left"/>
              <w:rPr>
                <w:rFonts w:ascii="方正书宋_GBK" w:eastAsia="方正书宋_GBK"/>
              </w:rPr>
            </w:pPr>
            <w:r>
              <w:rPr>
                <w:rFonts w:hint="eastAsia" w:ascii="方正书宋_GBK" w:eastAsia="方正书宋_GBK"/>
              </w:rPr>
              <w:t>落实动植物防疫检疫政策，建立完善动植物防疫和检疫体系。组织开展动植物的防疫检疫工作，发布疫情并组织扑灭。</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发挥动植物监测、防疫和检疫体系作用，有效降低疫病危害，保障畜牧业健康发展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动物疫情监测目标完成率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动物疫病强制免疫率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突发动物疫情处置率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14</w:t>
            </w:r>
            <w:r>
              <w:rPr>
                <w:rFonts w:hint="eastAsia" w:ascii="方正书宋_GBK" w:eastAsia="方正书宋_GBK"/>
                <w:b/>
              </w:rPr>
              <w:t>、畜产品质量安全体系建设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指导畜牧业检验检测体系建设和机构考核，依法实施符合安全标准的畜产品认证和监督管理。组织开展畜产品质量安全的监督检查。</w:t>
            </w:r>
          </w:p>
          <w:p>
            <w:pPr>
              <w:spacing w:line="300" w:lineRule="exact"/>
              <w:jc w:val="left"/>
              <w:rPr>
                <w:rFonts w:ascii="方正书宋_GBK" w:eastAsia="方正书宋_GBK"/>
              </w:rPr>
            </w:pPr>
            <w:r>
              <w:rPr>
                <w:rFonts w:hint="eastAsia" w:ascii="方正书宋_GBK" w:eastAsia="方正书宋_GBK"/>
              </w:rPr>
              <w:t>指导农业检验检测体系建设和机构考核，依法实施符合安全标准的农产品认证和监督管理。组织开展农产品质量安全的监督检查。</w:t>
            </w:r>
          </w:p>
          <w:p>
            <w:pPr>
              <w:spacing w:line="300" w:lineRule="exact"/>
              <w:jc w:val="left"/>
              <w:rPr>
                <w:rFonts w:ascii="方正书宋_GBK" w:eastAsia="方正书宋_GBK"/>
              </w:rPr>
            </w:pPr>
            <w:r>
              <w:rPr>
                <w:rFonts w:hint="eastAsia" w:ascii="方正书宋_GBK" w:eastAsia="方正书宋_GBK"/>
              </w:rPr>
              <w:t>指导农业检验检测体系建设和机构考核，依法实施符合安全标准的农产品认证和监督管理。组织开展农产品质量安全的监督检查。</w:t>
            </w:r>
          </w:p>
          <w:p>
            <w:pPr>
              <w:spacing w:line="300" w:lineRule="exact"/>
              <w:jc w:val="left"/>
              <w:rPr>
                <w:rFonts w:ascii="方正书宋_GBK" w:eastAsia="方正书宋_GBK"/>
              </w:rPr>
            </w:pPr>
            <w:r>
              <w:rPr>
                <w:rFonts w:hint="eastAsia" w:ascii="方正书宋_GBK" w:eastAsia="方正书宋_GBK"/>
              </w:rPr>
              <w:t>指导农业检验检测体系建设和机构考核，依法实施符合安全标准的农产品认证和监督管理。组织开展农产品质量安全的监督检查。</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加强农产品及农用化肥、药品监督检测，保障农产品质量，确保食品安全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畜产品质量监督检测完成率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重大畜产品质量安全事件发生率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及以下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及以下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病死动物无害化处理率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布病阳性奶牛强制扑杀率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15</w:t>
            </w:r>
            <w:r>
              <w:rPr>
                <w:rFonts w:hint="eastAsia" w:ascii="方正书宋_GBK" w:eastAsia="方正书宋_GBK"/>
                <w:b/>
              </w:rPr>
              <w:t>、渔业安全保障体系建设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开展渔业安全体系化体系建设，鼓励渔民主动加入渔业互保。</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可实现对我省渔船的动态监控，可提高渔船安全管理和海上事故救助效率。</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渔船动态监控率</w:t>
            </w:r>
          </w:p>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16</w:t>
            </w:r>
            <w:r>
              <w:rPr>
                <w:rFonts w:hint="eastAsia" w:ascii="方正书宋_GBK" w:eastAsia="方正书宋_GBK"/>
                <w:b/>
              </w:rPr>
              <w:t>、畜牧业技术推广与研究</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建设畜牧业创新团队，畜牧业关键技术研究与应用示范，开展畜牧业新技术推广、示范。</w:t>
            </w:r>
          </w:p>
          <w:p>
            <w:pPr>
              <w:spacing w:line="300" w:lineRule="exact"/>
              <w:jc w:val="left"/>
              <w:rPr>
                <w:rFonts w:ascii="方正书宋_GBK" w:eastAsia="方正书宋_GBK"/>
              </w:rPr>
            </w:pPr>
            <w:r>
              <w:rPr>
                <w:rFonts w:hint="eastAsia" w:ascii="方正书宋_GBK" w:eastAsia="方正书宋_GBK"/>
              </w:rPr>
              <w:t>建设农业创新团队，农业关键技术研究与应用示范，开展农业新技术推广、示范。</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发挥农业科技支撑作用，通过新技术成果的展示，辐射带动全市适宜区域的农业行业技术推广应用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新技术推广完成率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新技术应用效益综合提升率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五、农业政务管理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390.00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开展农业宣传，推动农业政策落实。保障农业信息网络和各项政务工作的开展。推动现代农业园区建设和休闲农业发展。</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保障各项农业工作的正常运行，推动现代农业园区建设，提升休闲农业水平。</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调研提出规划和政策建议，工作部署、协调推动、普查统计、督促指导、对外合作、行政审批、业务监管及</w:t>
            </w:r>
            <w:r>
              <w:rPr>
                <w:rFonts w:hint="eastAsia" w:ascii="方正书宋_GBK" w:eastAsia="方正书宋_GBK"/>
                <w:lang w:eastAsia="zh-CN"/>
              </w:rPr>
              <w:t>市委、市政府</w:t>
            </w:r>
            <w:r>
              <w:rPr>
                <w:rFonts w:hint="eastAsia" w:ascii="方正书宋_GBK" w:eastAsia="方正书宋_GBK"/>
              </w:rPr>
              <w:t>交办的其他事项等行政管理事项。</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依法做好行政审批和业务监管事项，完成县委、县政府交办事项</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交办事项完成率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行政审批事项批复率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125.00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加强机关事务性管理，开展机关自身能力建设。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高效保障机关日常运转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工作任务完成率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、现代农业园区建设与管理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260.00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制定全县现代农业园区认定管理办法，开展县级现代农业园区评审，组织申报省市级现代农业园区，推进全县现代农业园区建设。</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创建</w:t>
            </w:r>
            <w:r>
              <w:rPr>
                <w:rFonts w:ascii="方正书宋_GBK" w:eastAsia="方正书宋_GBK"/>
              </w:rPr>
              <w:t>5</w:t>
            </w:r>
            <w:r>
              <w:rPr>
                <w:rFonts w:hint="eastAsia" w:ascii="方正书宋_GBK" w:eastAsia="方正书宋_GBK"/>
              </w:rPr>
              <w:t>个县级现代农业园区，组织申报</w:t>
            </w:r>
            <w:r>
              <w:rPr>
                <w:rFonts w:ascii="方正书宋_GBK" w:eastAsia="方正书宋_GBK"/>
              </w:rPr>
              <w:t>1</w:t>
            </w:r>
            <w:r>
              <w:rPr>
                <w:rFonts w:hint="eastAsia" w:ascii="方正书宋_GBK" w:eastAsia="方正书宋_GBK"/>
              </w:rPr>
              <w:t>个市级、</w:t>
            </w:r>
            <w:r>
              <w:rPr>
                <w:rFonts w:ascii="方正书宋_GBK" w:eastAsia="方正书宋_GBK"/>
              </w:rPr>
              <w:t>1</w:t>
            </w:r>
            <w:r>
              <w:rPr>
                <w:rFonts w:hint="eastAsia" w:ascii="方正书宋_GBK" w:eastAsia="方正书宋_GBK"/>
              </w:rPr>
              <w:t>个省级现代农业园区。</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县级现代农业园区创建完成率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、休闲农业创建</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组织申报国家级、省级休闲农业星级企业、园区、示范点、最美休闲乡村、美丽田园等</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制定全县休闲农业实施意见，推动全县休闲农业健康发展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休闲农业下达指标完成率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bl>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ind w:firstLine="640" w:firstLineChars="200"/>
        <w:jc w:val="left"/>
        <w:outlineLvl w:val="0"/>
        <w:rPr>
          <w:rFonts w:ascii="Times New Roman" w:hAnsi="Times New Roman" w:eastAsia="仿宋" w:cs="Times New Roman"/>
          <w:sz w:val="32"/>
          <w:szCs w:val="24"/>
        </w:rPr>
      </w:pPr>
      <w:bookmarkStart w:id="0" w:name="_Toc471398468"/>
      <w:r>
        <w:rPr>
          <w:rFonts w:ascii="Times New Roman" w:hAnsi="Times New Roman" w:eastAsia="仿宋" w:cs="Times New Roman"/>
          <w:sz w:val="32"/>
          <w:szCs w:val="24"/>
        </w:rPr>
        <w:t>2018年，</w:t>
      </w:r>
      <w:r>
        <w:rPr>
          <w:rFonts w:hint="eastAsia" w:ascii="Times New Roman" w:hAnsi="Times New Roman" w:eastAsia="仿宋" w:cs="Times New Roman"/>
          <w:sz w:val="32"/>
          <w:szCs w:val="24"/>
        </w:rPr>
        <w:t>农牧部门</w:t>
      </w:r>
      <w:r>
        <w:rPr>
          <w:rFonts w:ascii="Times New Roman" w:hAnsi="Times New Roman" w:eastAsia="仿宋" w:cs="Times New Roman"/>
          <w:sz w:val="32"/>
          <w:szCs w:val="24"/>
        </w:rPr>
        <w:t>安排政府采购预算</w:t>
      </w:r>
      <w:r>
        <w:rPr>
          <w:rFonts w:hint="eastAsia" w:ascii="Times New Roman" w:hAnsi="Times New Roman" w:eastAsia="仿宋" w:cs="Times New Roman"/>
          <w:sz w:val="32"/>
          <w:szCs w:val="24"/>
        </w:rPr>
        <w:t>813.6</w:t>
      </w:r>
      <w:r>
        <w:rPr>
          <w:rFonts w:ascii="Times New Roman" w:hAnsi="Times New Roman" w:eastAsia="仿宋" w:cs="Times New Roman"/>
          <w:sz w:val="32"/>
          <w:szCs w:val="24"/>
        </w:rPr>
        <w:t>万元。具体内容见下表。</w:t>
      </w:r>
      <w:bookmarkEnd w:id="0"/>
    </w:p>
    <w:p>
      <w:pPr>
        <w:jc w:val="center"/>
        <w:outlineLvl w:val="0"/>
        <w:rPr>
          <w:rFonts w:ascii="方正小标宋_GBK" w:eastAsia="方正小标宋_GBK"/>
          <w:sz w:val="32"/>
        </w:rPr>
      </w:pPr>
      <w:bookmarkStart w:id="1" w:name="_Toc503971530"/>
      <w:r>
        <w:rPr>
          <w:rFonts w:hint="eastAsia" w:ascii="方正小标宋_GBK" w:eastAsia="方正小标宋_GBK"/>
          <w:sz w:val="32"/>
        </w:rPr>
        <w:t>部门政府采购预算</w:t>
      </w:r>
      <w:bookmarkEnd w:id="1"/>
    </w:p>
    <w:tbl>
      <w:tblPr>
        <w:tblStyle w:val="7"/>
        <w:tblW w:w="137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7"/>
        <w:gridCol w:w="938"/>
        <w:gridCol w:w="834"/>
        <w:gridCol w:w="1596"/>
        <w:gridCol w:w="647"/>
        <w:gridCol w:w="636"/>
        <w:gridCol w:w="883"/>
        <w:gridCol w:w="924"/>
        <w:gridCol w:w="924"/>
        <w:gridCol w:w="924"/>
        <w:gridCol w:w="812"/>
        <w:gridCol w:w="817"/>
        <w:gridCol w:w="831"/>
        <w:gridCol w:w="7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751"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326</w:t>
            </w:r>
            <w:r>
              <w:rPr>
                <w:rFonts w:hint="eastAsia" w:ascii="方正小标宋_GBK" w:eastAsia="方正小标宋_GBK"/>
                <w:sz w:val="24"/>
              </w:rPr>
              <w:t>怀来县农牧部门</w:t>
            </w:r>
          </w:p>
        </w:tc>
        <w:tc>
          <w:tcPr>
            <w:tcW w:w="6001"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155"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8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9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64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63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883"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001" w:type="dxa"/>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938"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834" w:type="dxa"/>
            <w:vMerge w:val="continue"/>
            <w:shd w:val="clear" w:color="auto" w:fill="auto"/>
            <w:vAlign w:val="center"/>
          </w:tcPr>
          <w:p>
            <w:pPr>
              <w:spacing w:line="300" w:lineRule="exact"/>
              <w:jc w:val="left"/>
              <w:outlineLvl w:val="0"/>
            </w:pPr>
          </w:p>
        </w:tc>
        <w:tc>
          <w:tcPr>
            <w:tcW w:w="1596" w:type="dxa"/>
            <w:vMerge w:val="continue"/>
            <w:shd w:val="clear" w:color="auto" w:fill="auto"/>
            <w:vAlign w:val="center"/>
          </w:tcPr>
          <w:p>
            <w:pPr>
              <w:spacing w:line="300" w:lineRule="exact"/>
              <w:jc w:val="left"/>
              <w:outlineLvl w:val="0"/>
            </w:pPr>
          </w:p>
        </w:tc>
        <w:tc>
          <w:tcPr>
            <w:tcW w:w="647" w:type="dxa"/>
            <w:vMerge w:val="continue"/>
            <w:shd w:val="clear" w:color="auto" w:fill="auto"/>
            <w:vAlign w:val="center"/>
          </w:tcPr>
          <w:p>
            <w:pPr>
              <w:spacing w:line="300" w:lineRule="exact"/>
              <w:jc w:val="left"/>
              <w:outlineLvl w:val="0"/>
            </w:pPr>
          </w:p>
        </w:tc>
        <w:tc>
          <w:tcPr>
            <w:tcW w:w="636" w:type="dxa"/>
            <w:vMerge w:val="continue"/>
            <w:shd w:val="clear" w:color="auto" w:fill="auto"/>
            <w:vAlign w:val="center"/>
          </w:tcPr>
          <w:p>
            <w:pPr>
              <w:spacing w:line="300" w:lineRule="exact"/>
              <w:jc w:val="left"/>
              <w:outlineLvl w:val="0"/>
            </w:pPr>
          </w:p>
        </w:tc>
        <w:tc>
          <w:tcPr>
            <w:tcW w:w="883" w:type="dxa"/>
            <w:vMerge w:val="continue"/>
            <w:shd w:val="clear" w:color="auto" w:fill="auto"/>
            <w:vAlign w:val="center"/>
          </w:tcPr>
          <w:p>
            <w:pPr>
              <w:spacing w:line="300" w:lineRule="exact"/>
              <w:jc w:val="left"/>
              <w:outlineLvl w:val="0"/>
            </w:pPr>
          </w:p>
        </w:tc>
        <w:tc>
          <w:tcPr>
            <w:tcW w:w="92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308" w:type="dxa"/>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76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17" w:type="dxa"/>
            <w:vMerge w:val="continue"/>
            <w:shd w:val="clear" w:color="auto" w:fill="auto"/>
            <w:vAlign w:val="center"/>
          </w:tcPr>
          <w:p>
            <w:pPr>
              <w:spacing w:line="300" w:lineRule="exact"/>
              <w:jc w:val="left"/>
              <w:outlineLvl w:val="0"/>
            </w:pPr>
          </w:p>
        </w:tc>
        <w:tc>
          <w:tcPr>
            <w:tcW w:w="938" w:type="dxa"/>
            <w:vMerge w:val="continue"/>
            <w:shd w:val="clear" w:color="auto" w:fill="auto"/>
            <w:vAlign w:val="center"/>
          </w:tcPr>
          <w:p>
            <w:pPr>
              <w:spacing w:line="300" w:lineRule="exact"/>
              <w:jc w:val="left"/>
              <w:outlineLvl w:val="0"/>
            </w:pPr>
          </w:p>
        </w:tc>
        <w:tc>
          <w:tcPr>
            <w:tcW w:w="834" w:type="dxa"/>
            <w:vMerge w:val="continue"/>
            <w:shd w:val="clear" w:color="auto" w:fill="auto"/>
            <w:vAlign w:val="center"/>
          </w:tcPr>
          <w:p>
            <w:pPr>
              <w:spacing w:line="300" w:lineRule="exact"/>
              <w:jc w:val="left"/>
              <w:outlineLvl w:val="0"/>
            </w:pPr>
          </w:p>
        </w:tc>
        <w:tc>
          <w:tcPr>
            <w:tcW w:w="1596" w:type="dxa"/>
            <w:vMerge w:val="continue"/>
            <w:shd w:val="clear" w:color="auto" w:fill="auto"/>
            <w:vAlign w:val="center"/>
          </w:tcPr>
          <w:p>
            <w:pPr>
              <w:spacing w:line="300" w:lineRule="exact"/>
              <w:jc w:val="left"/>
              <w:outlineLvl w:val="0"/>
            </w:pPr>
          </w:p>
        </w:tc>
        <w:tc>
          <w:tcPr>
            <w:tcW w:w="647" w:type="dxa"/>
            <w:vMerge w:val="continue"/>
            <w:shd w:val="clear" w:color="auto" w:fill="auto"/>
            <w:vAlign w:val="center"/>
          </w:tcPr>
          <w:p>
            <w:pPr>
              <w:spacing w:line="300" w:lineRule="exact"/>
              <w:jc w:val="left"/>
              <w:outlineLvl w:val="0"/>
            </w:pPr>
          </w:p>
        </w:tc>
        <w:tc>
          <w:tcPr>
            <w:tcW w:w="636" w:type="dxa"/>
            <w:vMerge w:val="continue"/>
            <w:shd w:val="clear" w:color="auto" w:fill="auto"/>
            <w:vAlign w:val="center"/>
          </w:tcPr>
          <w:p>
            <w:pPr>
              <w:spacing w:line="300" w:lineRule="exact"/>
              <w:jc w:val="left"/>
              <w:outlineLvl w:val="0"/>
            </w:pPr>
          </w:p>
        </w:tc>
        <w:tc>
          <w:tcPr>
            <w:tcW w:w="883" w:type="dxa"/>
            <w:vMerge w:val="continue"/>
            <w:shd w:val="clear" w:color="auto" w:fill="auto"/>
            <w:vAlign w:val="center"/>
          </w:tcPr>
          <w:p>
            <w:pPr>
              <w:spacing w:line="300" w:lineRule="exact"/>
              <w:jc w:val="left"/>
              <w:outlineLvl w:val="0"/>
            </w:pPr>
          </w:p>
        </w:tc>
        <w:tc>
          <w:tcPr>
            <w:tcW w:w="924" w:type="dxa"/>
            <w:vMerge w:val="continue"/>
            <w:shd w:val="clear" w:color="auto" w:fill="auto"/>
            <w:vAlign w:val="center"/>
          </w:tcPr>
          <w:p>
            <w:pPr>
              <w:spacing w:line="300" w:lineRule="exact"/>
              <w:jc w:val="left"/>
              <w:outlineLvl w:val="0"/>
            </w:pPr>
          </w:p>
        </w:tc>
        <w:tc>
          <w:tcPr>
            <w:tcW w:w="92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2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81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81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83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769"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938" w:type="dxa"/>
            <w:shd w:val="clear" w:color="auto" w:fill="auto"/>
            <w:vAlign w:val="center"/>
          </w:tcPr>
          <w:p>
            <w:pPr>
              <w:spacing w:line="300" w:lineRule="exact"/>
              <w:jc w:val="right"/>
              <w:rPr>
                <w:rFonts w:ascii="方正书宋_GBK" w:eastAsia="方正书宋_GBK"/>
                <w:b/>
              </w:rPr>
            </w:pPr>
          </w:p>
        </w:tc>
        <w:tc>
          <w:tcPr>
            <w:tcW w:w="834" w:type="dxa"/>
            <w:shd w:val="clear" w:color="auto" w:fill="auto"/>
            <w:vAlign w:val="center"/>
          </w:tcPr>
          <w:p>
            <w:pPr>
              <w:spacing w:line="300" w:lineRule="exact"/>
              <w:jc w:val="left"/>
              <w:rPr>
                <w:rFonts w:ascii="方正书宋_GBK" w:eastAsia="方正书宋_GBK"/>
                <w:b/>
              </w:rPr>
            </w:pPr>
          </w:p>
        </w:tc>
        <w:tc>
          <w:tcPr>
            <w:tcW w:w="1596" w:type="dxa"/>
            <w:shd w:val="clear" w:color="auto" w:fill="auto"/>
            <w:vAlign w:val="center"/>
          </w:tcPr>
          <w:p>
            <w:pPr>
              <w:spacing w:line="300" w:lineRule="exact"/>
              <w:jc w:val="left"/>
              <w:rPr>
                <w:rFonts w:ascii="方正书宋_GBK" w:eastAsia="方正书宋_GBK"/>
                <w:b/>
              </w:rPr>
            </w:pPr>
          </w:p>
        </w:tc>
        <w:tc>
          <w:tcPr>
            <w:tcW w:w="647" w:type="dxa"/>
            <w:shd w:val="clear" w:color="auto" w:fill="auto"/>
            <w:vAlign w:val="center"/>
          </w:tcPr>
          <w:p>
            <w:pPr>
              <w:spacing w:line="300" w:lineRule="exact"/>
              <w:jc w:val="left"/>
              <w:rPr>
                <w:rFonts w:ascii="方正书宋_GBK" w:eastAsia="方正书宋_GBK"/>
                <w:b/>
              </w:rPr>
            </w:pPr>
          </w:p>
        </w:tc>
        <w:tc>
          <w:tcPr>
            <w:tcW w:w="636" w:type="dxa"/>
            <w:shd w:val="clear" w:color="auto" w:fill="auto"/>
            <w:vAlign w:val="center"/>
          </w:tcPr>
          <w:p>
            <w:pPr>
              <w:spacing w:line="300" w:lineRule="exact"/>
              <w:jc w:val="right"/>
              <w:rPr>
                <w:rFonts w:ascii="方正书宋_GBK" w:eastAsia="方正书宋_GBK"/>
                <w:b/>
              </w:rPr>
            </w:pPr>
          </w:p>
        </w:tc>
        <w:tc>
          <w:tcPr>
            <w:tcW w:w="883" w:type="dxa"/>
            <w:shd w:val="clear" w:color="auto" w:fill="auto"/>
            <w:vAlign w:val="center"/>
          </w:tcPr>
          <w:p>
            <w:pPr>
              <w:spacing w:line="300" w:lineRule="exact"/>
              <w:jc w:val="right"/>
              <w:rPr>
                <w:rFonts w:ascii="方正书宋_GBK" w:eastAsia="方正书宋_GBK"/>
                <w:b/>
              </w:rPr>
            </w:pPr>
          </w:p>
        </w:tc>
        <w:tc>
          <w:tcPr>
            <w:tcW w:w="924" w:type="dxa"/>
            <w:shd w:val="clear" w:color="auto" w:fill="auto"/>
            <w:vAlign w:val="center"/>
          </w:tcPr>
          <w:p>
            <w:pPr>
              <w:spacing w:line="300" w:lineRule="exact"/>
              <w:jc w:val="right"/>
              <w:rPr>
                <w:rFonts w:ascii="方正书宋_GBK" w:eastAsia="方正书宋_GBK"/>
                <w:b/>
              </w:rPr>
            </w:pPr>
            <w:r>
              <w:rPr>
                <w:rFonts w:ascii="方正书宋_GBK" w:eastAsia="方正书宋_GBK"/>
                <w:b/>
              </w:rPr>
              <w:t>813.60</w:t>
            </w:r>
          </w:p>
        </w:tc>
        <w:tc>
          <w:tcPr>
            <w:tcW w:w="924" w:type="dxa"/>
            <w:shd w:val="clear" w:color="auto" w:fill="auto"/>
            <w:vAlign w:val="center"/>
          </w:tcPr>
          <w:p>
            <w:pPr>
              <w:spacing w:line="300" w:lineRule="exact"/>
              <w:jc w:val="right"/>
              <w:rPr>
                <w:rFonts w:ascii="方正书宋_GBK" w:eastAsia="方正书宋_GBK"/>
                <w:b/>
              </w:rPr>
            </w:pPr>
            <w:r>
              <w:rPr>
                <w:rFonts w:ascii="方正书宋_GBK" w:eastAsia="方正书宋_GBK"/>
                <w:b/>
              </w:rPr>
              <w:t>813.60</w:t>
            </w:r>
          </w:p>
        </w:tc>
        <w:tc>
          <w:tcPr>
            <w:tcW w:w="924" w:type="dxa"/>
            <w:shd w:val="clear" w:color="auto" w:fill="auto"/>
            <w:vAlign w:val="center"/>
          </w:tcPr>
          <w:p>
            <w:pPr>
              <w:spacing w:line="300" w:lineRule="exact"/>
              <w:jc w:val="right"/>
              <w:rPr>
                <w:rFonts w:ascii="方正书宋_GBK" w:eastAsia="方正书宋_GBK"/>
                <w:b/>
              </w:rPr>
            </w:pPr>
            <w:r>
              <w:rPr>
                <w:rFonts w:ascii="方正书宋_GBK" w:eastAsia="方正书宋_GBK"/>
                <w:b/>
              </w:rPr>
              <w:t>813.60</w:t>
            </w:r>
          </w:p>
        </w:tc>
        <w:tc>
          <w:tcPr>
            <w:tcW w:w="812" w:type="dxa"/>
            <w:shd w:val="clear" w:color="auto" w:fill="auto"/>
            <w:vAlign w:val="center"/>
          </w:tcPr>
          <w:p>
            <w:pPr>
              <w:spacing w:line="300" w:lineRule="exact"/>
              <w:jc w:val="right"/>
              <w:rPr>
                <w:rFonts w:ascii="方正书宋_GBK" w:eastAsia="方正书宋_GBK"/>
                <w:b/>
              </w:rPr>
            </w:pPr>
          </w:p>
        </w:tc>
        <w:tc>
          <w:tcPr>
            <w:tcW w:w="817" w:type="dxa"/>
            <w:shd w:val="clear" w:color="auto" w:fill="auto"/>
            <w:vAlign w:val="center"/>
          </w:tcPr>
          <w:p>
            <w:pPr>
              <w:spacing w:line="300" w:lineRule="exact"/>
              <w:jc w:val="right"/>
              <w:rPr>
                <w:rFonts w:ascii="方正书宋_GBK" w:eastAsia="方正书宋_GBK"/>
                <w:b/>
              </w:rPr>
            </w:pPr>
          </w:p>
        </w:tc>
        <w:tc>
          <w:tcPr>
            <w:tcW w:w="831" w:type="dxa"/>
            <w:shd w:val="clear" w:color="auto" w:fill="auto"/>
            <w:vAlign w:val="center"/>
          </w:tcPr>
          <w:p>
            <w:pPr>
              <w:spacing w:line="300" w:lineRule="exact"/>
              <w:jc w:val="right"/>
              <w:rPr>
                <w:rFonts w:ascii="方正书宋_GBK" w:eastAsia="方正书宋_GBK"/>
                <w:b/>
              </w:rPr>
            </w:pPr>
          </w:p>
        </w:tc>
        <w:tc>
          <w:tcPr>
            <w:tcW w:w="76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怀来县农牧局小计</w:t>
            </w:r>
          </w:p>
        </w:tc>
        <w:tc>
          <w:tcPr>
            <w:tcW w:w="938" w:type="dxa"/>
            <w:shd w:val="clear" w:color="auto" w:fill="auto"/>
            <w:vAlign w:val="center"/>
          </w:tcPr>
          <w:p>
            <w:pPr>
              <w:spacing w:line="300" w:lineRule="exact"/>
              <w:jc w:val="right"/>
              <w:rPr>
                <w:rFonts w:ascii="方正书宋_GBK" w:eastAsia="方正书宋_GBK"/>
                <w:b/>
              </w:rPr>
            </w:pPr>
          </w:p>
        </w:tc>
        <w:tc>
          <w:tcPr>
            <w:tcW w:w="834" w:type="dxa"/>
            <w:shd w:val="clear" w:color="auto" w:fill="auto"/>
            <w:vAlign w:val="center"/>
          </w:tcPr>
          <w:p>
            <w:pPr>
              <w:spacing w:line="300" w:lineRule="exact"/>
              <w:jc w:val="left"/>
              <w:rPr>
                <w:rFonts w:ascii="方正书宋_GBK" w:eastAsia="方正书宋_GBK"/>
                <w:b/>
              </w:rPr>
            </w:pPr>
          </w:p>
        </w:tc>
        <w:tc>
          <w:tcPr>
            <w:tcW w:w="1596" w:type="dxa"/>
            <w:shd w:val="clear" w:color="auto" w:fill="auto"/>
            <w:vAlign w:val="center"/>
          </w:tcPr>
          <w:p>
            <w:pPr>
              <w:spacing w:line="300" w:lineRule="exact"/>
              <w:jc w:val="left"/>
              <w:rPr>
                <w:rFonts w:ascii="方正书宋_GBK" w:eastAsia="方正书宋_GBK"/>
                <w:b/>
              </w:rPr>
            </w:pPr>
          </w:p>
        </w:tc>
        <w:tc>
          <w:tcPr>
            <w:tcW w:w="647" w:type="dxa"/>
            <w:shd w:val="clear" w:color="auto" w:fill="auto"/>
            <w:vAlign w:val="center"/>
          </w:tcPr>
          <w:p>
            <w:pPr>
              <w:spacing w:line="300" w:lineRule="exact"/>
              <w:jc w:val="left"/>
              <w:rPr>
                <w:rFonts w:ascii="方正书宋_GBK" w:eastAsia="方正书宋_GBK"/>
                <w:b/>
              </w:rPr>
            </w:pPr>
          </w:p>
        </w:tc>
        <w:tc>
          <w:tcPr>
            <w:tcW w:w="636" w:type="dxa"/>
            <w:shd w:val="clear" w:color="auto" w:fill="auto"/>
            <w:vAlign w:val="center"/>
          </w:tcPr>
          <w:p>
            <w:pPr>
              <w:spacing w:line="300" w:lineRule="exact"/>
              <w:jc w:val="right"/>
              <w:rPr>
                <w:rFonts w:ascii="方正书宋_GBK" w:eastAsia="方正书宋_GBK"/>
                <w:b/>
              </w:rPr>
            </w:pPr>
          </w:p>
        </w:tc>
        <w:tc>
          <w:tcPr>
            <w:tcW w:w="883" w:type="dxa"/>
            <w:shd w:val="clear" w:color="auto" w:fill="auto"/>
            <w:vAlign w:val="center"/>
          </w:tcPr>
          <w:p>
            <w:pPr>
              <w:spacing w:line="300" w:lineRule="exact"/>
              <w:jc w:val="right"/>
              <w:rPr>
                <w:rFonts w:ascii="方正书宋_GBK" w:eastAsia="方正书宋_GBK"/>
                <w:b/>
              </w:rPr>
            </w:pPr>
          </w:p>
        </w:tc>
        <w:tc>
          <w:tcPr>
            <w:tcW w:w="924" w:type="dxa"/>
            <w:shd w:val="clear" w:color="auto" w:fill="auto"/>
            <w:vAlign w:val="center"/>
          </w:tcPr>
          <w:p>
            <w:pPr>
              <w:spacing w:line="300" w:lineRule="exact"/>
              <w:jc w:val="right"/>
              <w:rPr>
                <w:rFonts w:ascii="方正书宋_GBK" w:eastAsia="方正书宋_GBK"/>
                <w:b/>
              </w:rPr>
            </w:pPr>
            <w:r>
              <w:rPr>
                <w:rFonts w:ascii="方正书宋_GBK" w:eastAsia="方正书宋_GBK"/>
                <w:b/>
              </w:rPr>
              <w:t>813.60</w:t>
            </w:r>
          </w:p>
        </w:tc>
        <w:tc>
          <w:tcPr>
            <w:tcW w:w="924" w:type="dxa"/>
            <w:shd w:val="clear" w:color="auto" w:fill="auto"/>
            <w:vAlign w:val="center"/>
          </w:tcPr>
          <w:p>
            <w:pPr>
              <w:spacing w:line="300" w:lineRule="exact"/>
              <w:jc w:val="right"/>
              <w:rPr>
                <w:rFonts w:ascii="方正书宋_GBK" w:eastAsia="方正书宋_GBK"/>
                <w:b/>
              </w:rPr>
            </w:pPr>
            <w:r>
              <w:rPr>
                <w:rFonts w:ascii="方正书宋_GBK" w:eastAsia="方正书宋_GBK"/>
                <w:b/>
              </w:rPr>
              <w:t>813.60</w:t>
            </w:r>
          </w:p>
        </w:tc>
        <w:tc>
          <w:tcPr>
            <w:tcW w:w="924" w:type="dxa"/>
            <w:shd w:val="clear" w:color="auto" w:fill="auto"/>
            <w:vAlign w:val="center"/>
          </w:tcPr>
          <w:p>
            <w:pPr>
              <w:spacing w:line="300" w:lineRule="exact"/>
              <w:jc w:val="right"/>
              <w:rPr>
                <w:rFonts w:ascii="方正书宋_GBK" w:eastAsia="方正书宋_GBK"/>
                <w:b/>
              </w:rPr>
            </w:pPr>
            <w:r>
              <w:rPr>
                <w:rFonts w:ascii="方正书宋_GBK" w:eastAsia="方正书宋_GBK"/>
                <w:b/>
              </w:rPr>
              <w:t>813.60</w:t>
            </w:r>
          </w:p>
        </w:tc>
        <w:tc>
          <w:tcPr>
            <w:tcW w:w="812" w:type="dxa"/>
            <w:shd w:val="clear" w:color="auto" w:fill="auto"/>
            <w:vAlign w:val="center"/>
          </w:tcPr>
          <w:p>
            <w:pPr>
              <w:spacing w:line="300" w:lineRule="exact"/>
              <w:jc w:val="right"/>
              <w:rPr>
                <w:rFonts w:ascii="方正书宋_GBK" w:eastAsia="方正书宋_GBK"/>
                <w:b/>
              </w:rPr>
            </w:pPr>
          </w:p>
        </w:tc>
        <w:tc>
          <w:tcPr>
            <w:tcW w:w="817" w:type="dxa"/>
            <w:shd w:val="clear" w:color="auto" w:fill="auto"/>
            <w:vAlign w:val="center"/>
          </w:tcPr>
          <w:p>
            <w:pPr>
              <w:spacing w:line="300" w:lineRule="exact"/>
              <w:jc w:val="right"/>
              <w:rPr>
                <w:rFonts w:ascii="方正书宋_GBK" w:eastAsia="方正书宋_GBK"/>
                <w:b/>
              </w:rPr>
            </w:pPr>
          </w:p>
        </w:tc>
        <w:tc>
          <w:tcPr>
            <w:tcW w:w="831" w:type="dxa"/>
            <w:shd w:val="clear" w:color="auto" w:fill="auto"/>
            <w:vAlign w:val="center"/>
          </w:tcPr>
          <w:p>
            <w:pPr>
              <w:spacing w:line="300" w:lineRule="exact"/>
              <w:jc w:val="right"/>
              <w:rPr>
                <w:rFonts w:ascii="方正书宋_GBK" w:eastAsia="方正书宋_GBK"/>
                <w:b/>
              </w:rPr>
            </w:pPr>
          </w:p>
        </w:tc>
        <w:tc>
          <w:tcPr>
            <w:tcW w:w="76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冀财农（</w:t>
            </w:r>
            <w:r>
              <w:rPr>
                <w:rFonts w:ascii="方正书宋_GBK" w:eastAsia="方正书宋_GBK"/>
              </w:rPr>
              <w:t>2017</w:t>
            </w:r>
            <w:r>
              <w:rPr>
                <w:rFonts w:hint="eastAsia" w:ascii="方正书宋_GBK" w:eastAsia="方正书宋_GBK"/>
              </w:rPr>
              <w:t>）</w:t>
            </w:r>
            <w:r>
              <w:rPr>
                <w:rFonts w:ascii="方正书宋_GBK" w:eastAsia="方正书宋_GBK"/>
              </w:rPr>
              <w:t>160</w:t>
            </w:r>
            <w:r>
              <w:rPr>
                <w:rFonts w:hint="eastAsia" w:ascii="方正书宋_GBK" w:eastAsia="方正书宋_GBK"/>
              </w:rPr>
              <w:t>号）提前下达</w:t>
            </w:r>
            <w:r>
              <w:rPr>
                <w:rFonts w:ascii="方正书宋_GBK" w:eastAsia="方正书宋_GBK"/>
              </w:rPr>
              <w:t>2018</w:t>
            </w:r>
            <w:r>
              <w:rPr>
                <w:rFonts w:hint="eastAsia" w:ascii="方正书宋_GBK" w:eastAsia="方正书宋_GBK"/>
              </w:rPr>
              <w:t>年中央农业资源及生态保护补助（草原禁牧补助和草畜平衡奖励（中央）</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549.00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农业和林业机械</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A0310</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冀财农（</w:t>
            </w:r>
            <w:r>
              <w:rPr>
                <w:rFonts w:ascii="方正书宋_GBK" w:eastAsia="方正书宋_GBK"/>
              </w:rPr>
              <w:t>2017</w:t>
            </w:r>
            <w:r>
              <w:rPr>
                <w:rFonts w:hint="eastAsia" w:ascii="方正书宋_GBK" w:eastAsia="方正书宋_GBK"/>
              </w:rPr>
              <w:t>）</w:t>
            </w:r>
            <w:r>
              <w:rPr>
                <w:rFonts w:ascii="方正书宋_GBK" w:eastAsia="方正书宋_GBK"/>
              </w:rPr>
              <w:t>160</w:t>
            </w:r>
            <w:r>
              <w:rPr>
                <w:rFonts w:hint="eastAsia" w:ascii="方正书宋_GBK" w:eastAsia="方正书宋_GBK"/>
              </w:rPr>
              <w:t>号）提前下达</w:t>
            </w:r>
            <w:r>
              <w:rPr>
                <w:rFonts w:ascii="方正书宋_GBK" w:eastAsia="方正书宋_GBK"/>
              </w:rPr>
              <w:t>2018</w:t>
            </w:r>
            <w:r>
              <w:rPr>
                <w:rFonts w:hint="eastAsia" w:ascii="方正书宋_GBK" w:eastAsia="方正书宋_GBK"/>
              </w:rPr>
              <w:t>年中央农业资源及生态保护补助（草原禁牧补助和草畜平衡奖励（中央）</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549.00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其他货物</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A99</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冀财农（</w:t>
            </w:r>
            <w:r>
              <w:rPr>
                <w:rFonts w:ascii="方正书宋_GBK" w:eastAsia="方正书宋_GBK"/>
              </w:rPr>
              <w:t>2017</w:t>
            </w:r>
            <w:r>
              <w:rPr>
                <w:rFonts w:hint="eastAsia" w:ascii="方正书宋_GBK" w:eastAsia="方正书宋_GBK"/>
              </w:rPr>
              <w:t>）</w:t>
            </w:r>
            <w:r>
              <w:rPr>
                <w:rFonts w:ascii="方正书宋_GBK" w:eastAsia="方正书宋_GBK"/>
              </w:rPr>
              <w:t>160</w:t>
            </w:r>
            <w:r>
              <w:rPr>
                <w:rFonts w:hint="eastAsia" w:ascii="方正书宋_GBK" w:eastAsia="方正书宋_GBK"/>
              </w:rPr>
              <w:t>号）提前下达</w:t>
            </w:r>
            <w:r>
              <w:rPr>
                <w:rFonts w:ascii="方正书宋_GBK" w:eastAsia="方正书宋_GBK"/>
              </w:rPr>
              <w:t>2018</w:t>
            </w:r>
            <w:r>
              <w:rPr>
                <w:rFonts w:hint="eastAsia" w:ascii="方正书宋_GBK" w:eastAsia="方正书宋_GBK"/>
              </w:rPr>
              <w:t>年中央农业资源及生态保护补助（草原禁牧补助和草畜平衡奖励（中央）</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549.00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其他建筑工程</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B99</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办案及业务费（返还）</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125.00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办案及业务费（返还）</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125.00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空调机</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A0206180203</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办案及业务费（返还）</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125.00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3.60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3.60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3.60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3.60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冀财农（</w:t>
            </w:r>
            <w:r>
              <w:rPr>
                <w:rFonts w:ascii="方正书宋_GBK" w:eastAsia="方正书宋_GBK"/>
              </w:rPr>
              <w:t>2017</w:t>
            </w:r>
            <w:r>
              <w:rPr>
                <w:rFonts w:hint="eastAsia" w:ascii="方正书宋_GBK" w:eastAsia="方正书宋_GBK"/>
              </w:rPr>
              <w:t>）</w:t>
            </w:r>
            <w:r>
              <w:rPr>
                <w:rFonts w:ascii="方正书宋_GBK" w:eastAsia="方正书宋_GBK"/>
              </w:rPr>
              <w:t>194</w:t>
            </w:r>
            <w:r>
              <w:rPr>
                <w:rFonts w:hint="eastAsia" w:ascii="方正书宋_GBK" w:eastAsia="方正书宋_GBK"/>
              </w:rPr>
              <w:t>号）提前下达</w:t>
            </w:r>
            <w:r>
              <w:rPr>
                <w:rFonts w:ascii="方正书宋_GBK" w:eastAsia="方正书宋_GBK"/>
              </w:rPr>
              <w:t>2018</w:t>
            </w:r>
            <w:r>
              <w:rPr>
                <w:rFonts w:hint="eastAsia" w:ascii="方正书宋_GBK" w:eastAsia="方正书宋_GBK"/>
              </w:rPr>
              <w:t>年省级现代农业生产发展专项转移支付资金（省级）</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260.00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专用设备</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A03</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冀财农（</w:t>
            </w:r>
            <w:r>
              <w:rPr>
                <w:rFonts w:ascii="方正书宋_GBK" w:eastAsia="方正书宋_GBK"/>
              </w:rPr>
              <w:t>2017</w:t>
            </w:r>
            <w:r>
              <w:rPr>
                <w:rFonts w:hint="eastAsia" w:ascii="方正书宋_GBK" w:eastAsia="方正书宋_GBK"/>
              </w:rPr>
              <w:t>）</w:t>
            </w:r>
            <w:r>
              <w:rPr>
                <w:rFonts w:ascii="方正书宋_GBK" w:eastAsia="方正书宋_GBK"/>
              </w:rPr>
              <w:t>194</w:t>
            </w:r>
            <w:r>
              <w:rPr>
                <w:rFonts w:hint="eastAsia" w:ascii="方正书宋_GBK" w:eastAsia="方正书宋_GBK"/>
              </w:rPr>
              <w:t>号）提前下达</w:t>
            </w:r>
            <w:r>
              <w:rPr>
                <w:rFonts w:ascii="方正书宋_GBK" w:eastAsia="方正书宋_GBK"/>
              </w:rPr>
              <w:t>2018</w:t>
            </w:r>
            <w:r>
              <w:rPr>
                <w:rFonts w:hint="eastAsia" w:ascii="方正书宋_GBK" w:eastAsia="方正书宋_GBK"/>
              </w:rPr>
              <w:t>年省级现代农业生产发展专项转移支付资金（省级）</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260.00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通用设备</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A02</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冀财农（</w:t>
            </w:r>
            <w:r>
              <w:rPr>
                <w:rFonts w:ascii="方正书宋_GBK" w:eastAsia="方正书宋_GBK"/>
              </w:rPr>
              <w:t>2017</w:t>
            </w:r>
            <w:r>
              <w:rPr>
                <w:rFonts w:hint="eastAsia" w:ascii="方正书宋_GBK" w:eastAsia="方正书宋_GBK"/>
              </w:rPr>
              <w:t>）</w:t>
            </w:r>
            <w:r>
              <w:rPr>
                <w:rFonts w:ascii="方正书宋_GBK" w:eastAsia="方正书宋_GBK"/>
              </w:rPr>
              <w:t>194</w:t>
            </w:r>
            <w:r>
              <w:rPr>
                <w:rFonts w:hint="eastAsia" w:ascii="方正书宋_GBK" w:eastAsia="方正书宋_GBK"/>
              </w:rPr>
              <w:t>号）提前下达</w:t>
            </w:r>
            <w:r>
              <w:rPr>
                <w:rFonts w:ascii="方正书宋_GBK" w:eastAsia="方正书宋_GBK"/>
              </w:rPr>
              <w:t>2018</w:t>
            </w:r>
            <w:r>
              <w:rPr>
                <w:rFonts w:hint="eastAsia" w:ascii="方正书宋_GBK" w:eastAsia="方正书宋_GBK"/>
              </w:rPr>
              <w:t>年省级现代农业生产发展专项转移支付资金（省级）</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260.00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C99</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2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怀来秸大秸秆产业示范园区规划编制经费</w:t>
            </w:r>
          </w:p>
        </w:tc>
        <w:tc>
          <w:tcPr>
            <w:tcW w:w="938"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8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596" w:type="dxa"/>
            <w:shd w:val="clear" w:color="auto" w:fill="auto"/>
            <w:vAlign w:val="center"/>
          </w:tcPr>
          <w:p>
            <w:pPr>
              <w:spacing w:line="300" w:lineRule="exact"/>
              <w:jc w:val="left"/>
              <w:rPr>
                <w:rFonts w:ascii="方正书宋_GBK" w:eastAsia="方正书宋_GBK"/>
              </w:rPr>
            </w:pPr>
            <w:r>
              <w:rPr>
                <w:rFonts w:ascii="方正书宋_GBK" w:eastAsia="方正书宋_GBK"/>
              </w:rPr>
              <w:t>C99</w:t>
            </w:r>
          </w:p>
        </w:tc>
        <w:tc>
          <w:tcPr>
            <w:tcW w:w="64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636"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83"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24"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812" w:type="dxa"/>
            <w:shd w:val="clear" w:color="auto" w:fill="auto"/>
            <w:vAlign w:val="center"/>
          </w:tcPr>
          <w:p>
            <w:pPr>
              <w:spacing w:line="300" w:lineRule="exact"/>
              <w:jc w:val="right"/>
              <w:rPr>
                <w:rFonts w:ascii="方正书宋_GBK" w:eastAsia="方正书宋_GBK"/>
              </w:rPr>
            </w:pPr>
          </w:p>
        </w:tc>
        <w:tc>
          <w:tcPr>
            <w:tcW w:w="817" w:type="dxa"/>
            <w:shd w:val="clear" w:color="auto" w:fill="auto"/>
            <w:vAlign w:val="center"/>
          </w:tcPr>
          <w:p>
            <w:pPr>
              <w:spacing w:line="300" w:lineRule="exact"/>
              <w:jc w:val="right"/>
              <w:rPr>
                <w:rFonts w:ascii="方正书宋_GBK" w:eastAsia="方正书宋_GBK"/>
              </w:rPr>
            </w:pPr>
          </w:p>
        </w:tc>
        <w:tc>
          <w:tcPr>
            <w:tcW w:w="831" w:type="dxa"/>
            <w:shd w:val="clear" w:color="auto" w:fill="auto"/>
            <w:vAlign w:val="center"/>
          </w:tcPr>
          <w:p>
            <w:pPr>
              <w:spacing w:line="300" w:lineRule="exact"/>
              <w:jc w:val="right"/>
              <w:rPr>
                <w:rFonts w:ascii="方正书宋_GBK" w:eastAsia="方正书宋_GBK"/>
              </w:rPr>
            </w:pPr>
          </w:p>
        </w:tc>
        <w:tc>
          <w:tcPr>
            <w:tcW w:w="769" w:type="dxa"/>
            <w:shd w:val="clear" w:color="auto" w:fill="auto"/>
            <w:vAlign w:val="center"/>
          </w:tcPr>
          <w:p>
            <w:pPr>
              <w:spacing w:line="300" w:lineRule="exact"/>
              <w:jc w:val="right"/>
              <w:rPr>
                <w:rFonts w:ascii="方正书宋_GBK" w:eastAsia="方正书宋_GBK"/>
              </w:rPr>
            </w:pPr>
          </w:p>
        </w:tc>
      </w:tr>
    </w:tbl>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怀来县农牧部门</w:t>
      </w:r>
      <w:r>
        <w:rPr>
          <w:rFonts w:ascii="Times New Roman" w:hAnsi="Times New Roman" w:eastAsia="仿宋" w:cs="Times New Roman"/>
          <w:sz w:val="32"/>
          <w:szCs w:val="32"/>
        </w:rPr>
        <w:t>上年末固定资产金额为</w:t>
      </w:r>
      <w:r>
        <w:rPr>
          <w:rFonts w:hint="eastAsia" w:ascii="Times New Roman" w:hAnsi="Times New Roman" w:eastAsia="仿宋" w:cs="Times New Roman"/>
          <w:sz w:val="32"/>
          <w:szCs w:val="32"/>
        </w:rPr>
        <w:t>761.69</w:t>
      </w:r>
      <w:r>
        <w:rPr>
          <w:rFonts w:ascii="Times New Roman" w:hAnsi="Times New Roman" w:eastAsia="仿宋" w:cs="Times New Roman"/>
          <w:sz w:val="32"/>
          <w:szCs w:val="32"/>
        </w:rPr>
        <w:t>万元（详见下表），本年度</w:t>
      </w:r>
      <w:r>
        <w:rPr>
          <w:rFonts w:hint="eastAsia" w:ascii="Times New Roman" w:hAnsi="Times New Roman" w:eastAsia="仿宋" w:cs="Times New Roman"/>
          <w:sz w:val="32"/>
          <w:szCs w:val="32"/>
        </w:rPr>
        <w:t>我部门</w:t>
      </w:r>
      <w:r>
        <w:rPr>
          <w:rFonts w:ascii="Times New Roman" w:hAnsi="Times New Roman" w:eastAsia="仿宋" w:cs="Times New Roman"/>
          <w:sz w:val="32"/>
          <w:szCs w:val="32"/>
        </w:rPr>
        <w:t>拟购置固定资产</w:t>
      </w:r>
      <w:r>
        <w:rPr>
          <w:rFonts w:hint="eastAsia" w:ascii="Times New Roman" w:hAnsi="Times New Roman" w:eastAsia="仿宋" w:cs="Times New Roman"/>
          <w:sz w:val="32"/>
          <w:szCs w:val="32"/>
        </w:rPr>
        <w:t>总额为13.6</w:t>
      </w:r>
      <w:r>
        <w:rPr>
          <w:rFonts w:ascii="Times New Roman" w:hAnsi="Times New Roman" w:eastAsia="仿宋" w:cs="Times New Roman"/>
          <w:sz w:val="32"/>
          <w:szCs w:val="32"/>
        </w:rPr>
        <w:t>万元，主要为空调</w:t>
      </w:r>
      <w:r>
        <w:rPr>
          <w:rFonts w:hint="eastAsia" w:ascii="Times New Roman" w:hAnsi="Times New Roman" w:eastAsia="仿宋" w:cs="Times New Roman"/>
          <w:sz w:val="32"/>
          <w:szCs w:val="32"/>
        </w:rPr>
        <w:t>及办公桌椅，</w:t>
      </w:r>
      <w:r>
        <w:rPr>
          <w:rFonts w:ascii="Times New Roman" w:hAnsi="Times New Roman" w:eastAsia="仿宋" w:cs="Times New Roman"/>
          <w:sz w:val="32"/>
          <w:szCs w:val="32"/>
        </w:rPr>
        <w:t>已列入政府采购预算</w:t>
      </w:r>
      <w:r>
        <w:rPr>
          <w:rFonts w:hint="eastAsia" w:ascii="Times New Roman" w:hAnsi="Times New Roman" w:eastAsia="仿宋" w:cs="Times New Roman"/>
          <w:sz w:val="32"/>
          <w:szCs w:val="32"/>
        </w:rPr>
        <w:t>，详见政府采购预算表。</w:t>
      </w:r>
    </w:p>
    <w:tbl>
      <w:tblPr>
        <w:tblStyle w:val="7"/>
        <w:tblW w:w="13632" w:type="dxa"/>
        <w:tblInd w:w="93" w:type="dxa"/>
        <w:tblLayout w:type="fixed"/>
        <w:tblCellMar>
          <w:top w:w="0" w:type="dxa"/>
          <w:left w:w="108" w:type="dxa"/>
          <w:bottom w:w="0" w:type="dxa"/>
          <w:right w:w="108" w:type="dxa"/>
        </w:tblCellMar>
      </w:tblPr>
      <w:tblGrid>
        <w:gridCol w:w="5282"/>
        <w:gridCol w:w="3190"/>
        <w:gridCol w:w="5160"/>
      </w:tblGrid>
      <w:tr>
        <w:tblPrEx>
          <w:tblCellMar>
            <w:top w:w="0" w:type="dxa"/>
            <w:left w:w="108" w:type="dxa"/>
            <w:bottom w:w="0" w:type="dxa"/>
            <w:right w:w="108" w:type="dxa"/>
          </w:tblCellMar>
        </w:tblPrEx>
        <w:trPr>
          <w:trHeight w:val="725" w:hRule="atLeast"/>
        </w:trPr>
        <w:tc>
          <w:tcPr>
            <w:tcW w:w="1363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怀来县农牧部门固定资产占用情况表</w:t>
            </w:r>
          </w:p>
        </w:tc>
      </w:tr>
      <w:tr>
        <w:tblPrEx>
          <w:tblCellMar>
            <w:top w:w="0" w:type="dxa"/>
            <w:left w:w="108" w:type="dxa"/>
            <w:bottom w:w="0" w:type="dxa"/>
            <w:right w:w="108" w:type="dxa"/>
          </w:tblCellMar>
        </w:tblPrEx>
        <w:trPr>
          <w:trHeight w:val="525" w:hRule="atLeast"/>
        </w:trPr>
        <w:tc>
          <w:tcPr>
            <w:tcW w:w="8472" w:type="dxa"/>
            <w:gridSpan w:val="2"/>
            <w:tcBorders>
              <w:top w:val="nil"/>
              <w:left w:val="nil"/>
              <w:bottom w:val="nil"/>
              <w:right w:val="nil"/>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rPr>
              <w:t>怀来县农牧局</w:t>
            </w:r>
          </w:p>
        </w:tc>
        <w:tc>
          <w:tcPr>
            <w:tcW w:w="5160" w:type="dxa"/>
            <w:tcBorders>
              <w:top w:val="nil"/>
              <w:left w:val="nil"/>
              <w:bottom w:val="nil"/>
              <w:right w:val="nil"/>
            </w:tcBorders>
            <w:vAlign w:val="center"/>
          </w:tcPr>
          <w:p>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截止时间：201</w:t>
            </w:r>
            <w:r>
              <w:rPr>
                <w:rFonts w:hint="eastAsia" w:ascii="Times New Roman" w:hAnsi="Times New Roman" w:eastAsia="仿宋" w:cs="Times New Roman"/>
                <w:kern w:val="0"/>
                <w:sz w:val="22"/>
              </w:rPr>
              <w:t>7</w:t>
            </w:r>
            <w:r>
              <w:rPr>
                <w:rFonts w:ascii="Times New Roman" w:hAnsi="Times New Roman" w:eastAsia="仿宋" w:cs="Times New Roman"/>
                <w:kern w:val="0"/>
                <w:sz w:val="22"/>
              </w:rPr>
              <w:t>年12月31日</w:t>
            </w:r>
          </w:p>
        </w:tc>
      </w:tr>
      <w:tr>
        <w:tblPrEx>
          <w:tblCellMar>
            <w:top w:w="0" w:type="dxa"/>
            <w:left w:w="108" w:type="dxa"/>
            <w:bottom w:w="0" w:type="dxa"/>
            <w:right w:w="108" w:type="dxa"/>
          </w:tblCellMar>
        </w:tblPrEx>
        <w:trPr>
          <w:trHeight w:val="663" w:hRule="atLeast"/>
        </w:trPr>
        <w:tc>
          <w:tcPr>
            <w:tcW w:w="52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663" w:hRule="atLeast"/>
        </w:trPr>
        <w:tc>
          <w:tcPr>
            <w:tcW w:w="52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3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color w:val="FF0000"/>
                <w:kern w:val="0"/>
                <w:sz w:val="22"/>
              </w:rPr>
            </w:pPr>
            <w:r>
              <w:rPr>
                <w:rFonts w:hint="eastAsia" w:ascii="Times New Roman" w:hAnsi="Times New Roman" w:eastAsia="仿宋" w:cs="Times New Roman"/>
                <w:kern w:val="0"/>
                <w:sz w:val="22"/>
              </w:rPr>
              <w:t>761.69</w:t>
            </w:r>
          </w:p>
        </w:tc>
      </w:tr>
      <w:tr>
        <w:tblPrEx>
          <w:tblCellMar>
            <w:top w:w="0" w:type="dxa"/>
            <w:left w:w="108" w:type="dxa"/>
            <w:bottom w:w="0" w:type="dxa"/>
            <w:right w:w="108" w:type="dxa"/>
          </w:tblCellMar>
        </w:tblPrEx>
        <w:trPr>
          <w:trHeight w:val="663" w:hRule="atLeast"/>
        </w:trPr>
        <w:tc>
          <w:tcPr>
            <w:tcW w:w="52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3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16402.8</w:t>
            </w:r>
          </w:p>
        </w:tc>
        <w:tc>
          <w:tcPr>
            <w:tcW w:w="51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214.39</w:t>
            </w:r>
          </w:p>
        </w:tc>
      </w:tr>
      <w:tr>
        <w:tblPrEx>
          <w:tblCellMar>
            <w:top w:w="0" w:type="dxa"/>
            <w:left w:w="108" w:type="dxa"/>
            <w:bottom w:w="0" w:type="dxa"/>
            <w:right w:w="108" w:type="dxa"/>
          </w:tblCellMar>
        </w:tblPrEx>
        <w:trPr>
          <w:trHeight w:val="663" w:hRule="atLeast"/>
        </w:trPr>
        <w:tc>
          <w:tcPr>
            <w:tcW w:w="52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3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2043</w:t>
            </w:r>
          </w:p>
        </w:tc>
        <w:tc>
          <w:tcPr>
            <w:tcW w:w="51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137.49</w:t>
            </w:r>
          </w:p>
        </w:tc>
      </w:tr>
      <w:tr>
        <w:tblPrEx>
          <w:tblCellMar>
            <w:top w:w="0" w:type="dxa"/>
            <w:left w:w="108" w:type="dxa"/>
            <w:bottom w:w="0" w:type="dxa"/>
            <w:right w:w="108" w:type="dxa"/>
          </w:tblCellMar>
        </w:tblPrEx>
        <w:trPr>
          <w:trHeight w:val="663" w:hRule="atLeast"/>
        </w:trPr>
        <w:tc>
          <w:tcPr>
            <w:tcW w:w="52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3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21</w:t>
            </w:r>
          </w:p>
        </w:tc>
        <w:tc>
          <w:tcPr>
            <w:tcW w:w="51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100.86</w:t>
            </w:r>
          </w:p>
        </w:tc>
      </w:tr>
      <w:tr>
        <w:tblPrEx>
          <w:tblCellMar>
            <w:top w:w="0" w:type="dxa"/>
            <w:left w:w="108" w:type="dxa"/>
            <w:bottom w:w="0" w:type="dxa"/>
            <w:right w:w="108" w:type="dxa"/>
          </w:tblCellMar>
        </w:tblPrEx>
        <w:trPr>
          <w:trHeight w:val="663" w:hRule="atLeast"/>
        </w:trPr>
        <w:tc>
          <w:tcPr>
            <w:tcW w:w="52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3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0</w:t>
            </w:r>
          </w:p>
        </w:tc>
      </w:tr>
      <w:tr>
        <w:tblPrEx>
          <w:tblCellMar>
            <w:top w:w="0" w:type="dxa"/>
            <w:left w:w="108" w:type="dxa"/>
            <w:bottom w:w="0" w:type="dxa"/>
            <w:right w:w="108" w:type="dxa"/>
          </w:tblCellMar>
        </w:tblPrEx>
        <w:trPr>
          <w:trHeight w:val="663" w:hRule="atLeast"/>
        </w:trPr>
        <w:tc>
          <w:tcPr>
            <w:tcW w:w="52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3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308.95</w:t>
            </w:r>
          </w:p>
        </w:tc>
      </w:tr>
    </w:tbl>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pStyle w:val="12"/>
        <w:ind w:firstLine="640" w:firstLineChars="200"/>
        <w:rPr>
          <w:rFonts w:ascii="仿宋_GB2312" w:hAnsi="仿宋" w:eastAsia="仿宋_GB2312" w:cs="黑体"/>
          <w:color w:val="auto"/>
          <w:kern w:val="2"/>
          <w:sz w:val="32"/>
          <w:szCs w:val="32"/>
        </w:rPr>
      </w:pPr>
      <w:r>
        <w:rPr>
          <w:rFonts w:ascii="仿宋_GB2312" w:hAnsi="仿宋" w:eastAsia="仿宋_GB2312" w:cs="黑体"/>
          <w:color w:val="auto"/>
          <w:kern w:val="2"/>
          <w:sz w:val="32"/>
          <w:szCs w:val="32"/>
        </w:rPr>
        <w:t>1、一般</w:t>
      </w:r>
      <w:r>
        <w:rPr>
          <w:rFonts w:hint="eastAsia" w:ascii="仿宋_GB2312" w:hAnsi="仿宋" w:eastAsia="仿宋_GB2312" w:cs="黑体"/>
          <w:color w:val="auto"/>
          <w:kern w:val="2"/>
          <w:sz w:val="32"/>
          <w:szCs w:val="32"/>
        </w:rPr>
        <w:t>公</w:t>
      </w:r>
      <w:r>
        <w:rPr>
          <w:rFonts w:ascii="仿宋_GB2312" w:hAnsi="仿宋" w:eastAsia="仿宋_GB2312" w:cs="黑体"/>
          <w:color w:val="auto"/>
          <w:kern w:val="2"/>
          <w:sz w:val="32"/>
          <w:szCs w:val="32"/>
        </w:rPr>
        <w:t>共预算拨款收入：指省级财政当年拨付的资金。</w:t>
      </w:r>
    </w:p>
    <w:p>
      <w:pPr>
        <w:pStyle w:val="12"/>
        <w:ind w:firstLine="640" w:firstLineChars="200"/>
        <w:rPr>
          <w:rFonts w:ascii="仿宋_GB2312" w:hAnsi="仿宋" w:eastAsia="仿宋_GB2312" w:cs="黑体"/>
          <w:color w:val="auto"/>
          <w:kern w:val="2"/>
          <w:sz w:val="32"/>
          <w:szCs w:val="32"/>
        </w:rPr>
      </w:pPr>
      <w:r>
        <w:rPr>
          <w:rFonts w:ascii="仿宋_GB2312" w:hAnsi="仿宋" w:eastAsia="仿宋_GB2312" w:cs="黑体"/>
          <w:color w:val="auto"/>
          <w:kern w:val="2"/>
          <w:sz w:val="32"/>
          <w:szCs w:val="32"/>
        </w:rPr>
        <w:t>2、事业收入：指事业单位开展专业业务活动及辅助活动所取得的收入。</w:t>
      </w:r>
    </w:p>
    <w:p>
      <w:pPr>
        <w:pStyle w:val="12"/>
        <w:ind w:firstLine="640" w:firstLineChars="200"/>
        <w:rPr>
          <w:rFonts w:ascii="仿宋_GB2312" w:hAnsi="仿宋" w:eastAsia="仿宋_GB2312" w:cs="黑体"/>
          <w:color w:val="auto"/>
          <w:kern w:val="2"/>
          <w:sz w:val="32"/>
          <w:szCs w:val="32"/>
        </w:rPr>
      </w:pPr>
      <w:r>
        <w:rPr>
          <w:rFonts w:ascii="仿宋_GB2312" w:hAnsi="仿宋" w:eastAsia="仿宋_GB2312" w:cs="黑体"/>
          <w:color w:val="auto"/>
          <w:kern w:val="2"/>
          <w:sz w:val="32"/>
          <w:szCs w:val="32"/>
        </w:rPr>
        <w:t>3、其他收入：指除上述“财政拨款收入”、“事业收入”等以外的收入。主要是按规定动用的租房收入、存款利息收入等。</w:t>
      </w:r>
    </w:p>
    <w:p>
      <w:pPr>
        <w:pStyle w:val="12"/>
        <w:ind w:firstLine="640" w:firstLineChars="200"/>
        <w:rPr>
          <w:rFonts w:ascii="仿宋_GB2312" w:hAnsi="仿宋" w:eastAsia="仿宋_GB2312" w:cs="黑体"/>
          <w:color w:val="auto"/>
          <w:kern w:val="2"/>
          <w:sz w:val="32"/>
          <w:szCs w:val="32"/>
        </w:rPr>
      </w:pPr>
      <w:r>
        <w:rPr>
          <w:rFonts w:ascii="仿宋_GB2312" w:hAnsi="仿宋" w:eastAsia="仿宋_GB2312" w:cs="黑体"/>
          <w:color w:val="auto"/>
          <w:kern w:val="2"/>
          <w:sz w:val="32"/>
          <w:szCs w:val="32"/>
        </w:rPr>
        <w:t>4、基本支出：</w:t>
      </w:r>
      <w:r>
        <w:rPr>
          <w:rFonts w:hint="eastAsia" w:ascii="仿宋_GB2312" w:hAnsi="仿宋" w:eastAsia="仿宋_GB2312" w:cs="黑体"/>
          <w:color w:val="auto"/>
          <w:kern w:val="2"/>
          <w:sz w:val="32"/>
          <w:szCs w:val="32"/>
        </w:rPr>
        <w:t>指为保障机构正常运转、完成日常工作任务而发生的人员支出和公用支出。</w:t>
      </w:r>
    </w:p>
    <w:p>
      <w:pPr>
        <w:ind w:firstLine="640" w:firstLineChars="200"/>
        <w:rPr>
          <w:rFonts w:ascii="仿宋_GB2312" w:hAnsi="仿宋" w:eastAsia="仿宋_GB2312"/>
          <w:sz w:val="32"/>
          <w:szCs w:val="32"/>
        </w:rPr>
      </w:pPr>
      <w:r>
        <w:rPr>
          <w:rFonts w:ascii="仿宋_GB2312" w:hAnsi="仿宋" w:eastAsia="仿宋_GB2312"/>
          <w:sz w:val="32"/>
          <w:szCs w:val="32"/>
        </w:rPr>
        <w:t>5、项目支出：</w:t>
      </w:r>
      <w:r>
        <w:rPr>
          <w:rFonts w:hint="eastAsia" w:ascii="仿宋_GB2312" w:hAnsi="仿宋" w:eastAsia="仿宋_GB2312"/>
          <w:sz w:val="32"/>
          <w:szCs w:val="32"/>
        </w:rPr>
        <w:t>指在基本支出之外为完成特定行政任务和事业发展目标所发生的支出。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6、公共财政预算：指政府凭借国家政治权力，以社会管理者身份筹集以税收为主体的财政收入，用于保障和改善民生、维持国家行政职能正常行使、保障国家安全等方面的收支预算。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7、政府性基金预算：指政府通过向社会征收基金、收费，以及出让土地、发行彩票等方式取得收入，专项用于支持特定基础设施建设和社会事业发展等方面的收支预算。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8、政府采购 ：Government Procuremen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2"/>
        <w:ind w:firstLine="800" w:firstLineChars="250"/>
        <w:rPr>
          <w:rFonts w:ascii="仿宋_GB2312" w:hAnsi="仿宋" w:eastAsia="仿宋_GB2312" w:cs="黑体"/>
          <w:color w:val="auto"/>
          <w:kern w:val="2"/>
          <w:sz w:val="32"/>
          <w:szCs w:val="32"/>
        </w:rPr>
      </w:pPr>
      <w:r>
        <w:rPr>
          <w:rFonts w:hint="eastAsia" w:ascii="仿宋_GB2312" w:hAnsi="仿宋" w:eastAsia="仿宋_GB2312" w:cs="黑体"/>
          <w:color w:val="auto"/>
          <w:kern w:val="2"/>
          <w:sz w:val="32"/>
          <w:szCs w:val="32"/>
        </w:rPr>
        <w:t>9</w:t>
      </w:r>
      <w:r>
        <w:rPr>
          <w:rFonts w:ascii="仿宋_GB2312" w:hAnsi="仿宋" w:eastAsia="仿宋_GB2312" w:cs="黑体"/>
          <w:color w:val="auto"/>
          <w:kern w:val="2"/>
          <w:sz w:val="32"/>
          <w:szCs w:val="32"/>
        </w:rPr>
        <w:t>、“三公”经费：纳入</w:t>
      </w:r>
      <w:r>
        <w:rPr>
          <w:rFonts w:hint="eastAsia" w:ascii="仿宋_GB2312" w:hAnsi="仿宋" w:eastAsia="仿宋_GB2312" w:cs="黑体"/>
          <w:color w:val="auto"/>
          <w:kern w:val="2"/>
          <w:sz w:val="32"/>
          <w:szCs w:val="32"/>
        </w:rPr>
        <w:t>县</w:t>
      </w:r>
      <w:r>
        <w:rPr>
          <w:rFonts w:ascii="仿宋_GB2312" w:hAnsi="仿宋" w:eastAsia="仿宋_GB2312" w:cs="黑体"/>
          <w:color w:val="auto"/>
          <w:kern w:val="2"/>
          <w:sz w:val="32"/>
          <w:szCs w:val="32"/>
        </w:rPr>
        <w:t>级财政预算管理的“三公”经费，是指</w:t>
      </w:r>
      <w:r>
        <w:rPr>
          <w:rFonts w:hint="eastAsia" w:ascii="仿宋_GB2312" w:hAnsi="仿宋" w:eastAsia="仿宋_GB2312" w:cs="黑体"/>
          <w:color w:val="auto"/>
          <w:kern w:val="2"/>
          <w:sz w:val="32"/>
          <w:szCs w:val="32"/>
        </w:rPr>
        <w:t>县</w:t>
      </w:r>
      <w:r>
        <w:rPr>
          <w:rFonts w:ascii="仿宋_GB2312" w:hAnsi="仿宋" w:eastAsia="仿宋_GB2312" w:cs="黑体"/>
          <w:color w:val="auto"/>
          <w:kern w:val="2"/>
          <w:sz w:val="32"/>
          <w:szCs w:val="32"/>
        </w:rPr>
        <w:t>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800" w:firstLineChars="250"/>
        <w:rPr>
          <w:rFonts w:ascii="仿宋_GB2312" w:hAnsi="仿宋" w:eastAsia="仿宋_GB2312"/>
          <w:sz w:val="32"/>
          <w:szCs w:val="32"/>
        </w:rPr>
      </w:pPr>
      <w:r>
        <w:rPr>
          <w:rFonts w:hint="eastAsia" w:ascii="仿宋_GB2312" w:hAnsi="仿宋" w:eastAsia="仿宋_GB2312"/>
          <w:sz w:val="32"/>
          <w:szCs w:val="32"/>
        </w:rPr>
        <w:t>10</w:t>
      </w:r>
      <w:r>
        <w:rPr>
          <w:rFonts w:ascii="仿宋_GB2312" w:hAnsi="仿宋" w:eastAsia="仿宋_GB2312"/>
          <w:sz w:val="32"/>
          <w:szCs w:val="32"/>
        </w:rPr>
        <w:t>、机关运行费：</w:t>
      </w:r>
      <w:r>
        <w:rPr>
          <w:rFonts w:hint="eastAsia" w:ascii="仿宋_GB2312" w:hAnsi="仿宋"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w:t>
      </w:r>
      <w:r>
        <w:rPr>
          <w:rFonts w:ascii="仿宋_GB2312" w:hAnsi="仿宋" w:eastAsia="仿宋_GB2312"/>
          <w:sz w:val="32"/>
          <w:szCs w:val="32"/>
        </w:rPr>
        <w:t>其他费用。</w:t>
      </w:r>
    </w:p>
    <w:p>
      <w:pPr>
        <w:ind w:firstLine="640" w:firstLineChars="200"/>
        <w:rPr>
          <w:rFonts w:ascii="仿宋_GB2312" w:hAnsi="仿宋" w:eastAsia="仿宋_GB2312"/>
          <w:sz w:val="32"/>
          <w:szCs w:val="32"/>
        </w:rPr>
      </w:pPr>
      <w:r>
        <w:rPr>
          <w:rFonts w:hint="eastAsia" w:ascii="仿宋_GB2312" w:hAnsi="仿宋" w:eastAsia="仿宋_GB2312"/>
          <w:sz w:val="32"/>
          <w:szCs w:val="32"/>
        </w:rPr>
        <w:t>11、现代农业园区：指以技术密集为主要特点，以科技开发、示范、辐射和推广为主要内容，以促进区域农业结构调整和产业升级为目标。不断拓宽园区建设的范围，打破形式上单一的工厂化、大棚栽培模式，把围绕农业科技在不同生产主体间能发挥作用的各种形式，以及围绕主导产业、优势区域促进农民增收的各种类型都纳入园区建设范围。</w:t>
      </w:r>
    </w:p>
    <w:p>
      <w:pPr>
        <w:ind w:firstLine="480" w:firstLineChars="150"/>
        <w:rPr>
          <w:rFonts w:ascii="仿宋_GB2312" w:hAnsi="仿宋" w:eastAsia="仿宋_GB2312"/>
          <w:sz w:val="32"/>
          <w:szCs w:val="32"/>
        </w:rPr>
      </w:pPr>
      <w:r>
        <w:rPr>
          <w:rFonts w:hint="eastAsia" w:ascii="仿宋_GB2312" w:hAnsi="仿宋" w:eastAsia="仿宋_GB2312"/>
          <w:sz w:val="32"/>
          <w:szCs w:val="32"/>
        </w:rPr>
        <w:t xml:space="preserve"> 12、病虫害防治：指为了减轻或防止病原微生物和害虫危害作物或人畜，而人为地采取某些手段，此称为病虫害防治。</w:t>
      </w:r>
    </w:p>
    <w:p>
      <w:pPr>
        <w:ind w:firstLine="640" w:firstLineChars="200"/>
        <w:rPr>
          <w:rFonts w:ascii="仿宋_GB2312" w:hAnsi="仿宋" w:eastAsia="仿宋_GB2312"/>
          <w:sz w:val="32"/>
          <w:szCs w:val="32"/>
        </w:rPr>
      </w:pPr>
      <w:r>
        <w:rPr>
          <w:rFonts w:hint="eastAsia" w:ascii="仿宋_GB2312" w:hAnsi="仿宋" w:eastAsia="仿宋_GB2312"/>
          <w:sz w:val="32"/>
          <w:szCs w:val="32"/>
        </w:rPr>
        <w:t>13、</w:t>
      </w:r>
      <w:r>
        <w:fldChar w:fldCharType="begin"/>
      </w:r>
      <w:r>
        <w:instrText xml:space="preserve"> HYPERLINK "https://baike.baidu.com/item/%E5%86%9C%E6%9C%BA" \t "_blank" </w:instrText>
      </w:r>
      <w:r>
        <w:fldChar w:fldCharType="separate"/>
      </w:r>
      <w:r>
        <w:rPr>
          <w:rFonts w:ascii="仿宋_GB2312" w:hAnsi="仿宋" w:eastAsia="仿宋_GB2312"/>
          <w:sz w:val="32"/>
          <w:szCs w:val="32"/>
        </w:rPr>
        <w:t>农机</w:t>
      </w:r>
      <w:r>
        <w:rPr>
          <w:rFonts w:ascii="仿宋_GB2312" w:hAnsi="仿宋" w:eastAsia="仿宋_GB2312"/>
          <w:sz w:val="32"/>
          <w:szCs w:val="32"/>
        </w:rPr>
        <w:fldChar w:fldCharType="end"/>
      </w:r>
      <w:r>
        <w:rPr>
          <w:rFonts w:ascii="仿宋_GB2312" w:hAnsi="仿宋" w:eastAsia="仿宋_GB2312"/>
          <w:sz w:val="32"/>
          <w:szCs w:val="32"/>
        </w:rPr>
        <w:t>具购置补贴</w:t>
      </w:r>
      <w:r>
        <w:rPr>
          <w:rFonts w:hint="eastAsia" w:ascii="仿宋_GB2312" w:hAnsi="仿宋" w:eastAsia="仿宋_GB2312"/>
          <w:sz w:val="32"/>
          <w:szCs w:val="32"/>
        </w:rPr>
        <w:t>：</w:t>
      </w:r>
      <w:r>
        <w:rPr>
          <w:rFonts w:ascii="仿宋_GB2312" w:hAnsi="仿宋" w:eastAsia="仿宋_GB2312"/>
          <w:sz w:val="32"/>
          <w:szCs w:val="32"/>
        </w:rPr>
        <w:t>又称农机购置补贴，是指国家对农民个人、</w:t>
      </w:r>
      <w:r>
        <w:fldChar w:fldCharType="begin"/>
      </w:r>
      <w:r>
        <w:instrText xml:space="preserve"> HYPERLINK "https://baike.baidu.com/item/%E5%86%9C%E5%9C%BA" \t "_blank" </w:instrText>
      </w:r>
      <w:r>
        <w:fldChar w:fldCharType="separate"/>
      </w:r>
      <w:r>
        <w:rPr>
          <w:rFonts w:ascii="仿宋_GB2312" w:hAnsi="仿宋" w:eastAsia="仿宋_GB2312"/>
          <w:sz w:val="32"/>
          <w:szCs w:val="32"/>
        </w:rPr>
        <w:t>农场</w:t>
      </w:r>
      <w:r>
        <w:rPr>
          <w:rFonts w:ascii="仿宋_GB2312" w:hAnsi="仿宋" w:eastAsia="仿宋_GB2312"/>
          <w:sz w:val="32"/>
          <w:szCs w:val="32"/>
        </w:rPr>
        <w:fldChar w:fldCharType="end"/>
      </w:r>
      <w:r>
        <w:rPr>
          <w:rFonts w:ascii="仿宋_GB2312" w:hAnsi="仿宋" w:eastAsia="仿宋_GB2312"/>
          <w:sz w:val="32"/>
          <w:szCs w:val="32"/>
        </w:rPr>
        <w:t>职工、农机专业户和直接从事农业生产的农机作业服务组织，购置和更新农业生产所需的农机具给予的补贴。</w:t>
      </w:r>
    </w:p>
    <w:p>
      <w:pPr>
        <w:ind w:firstLine="640" w:firstLineChars="200"/>
        <w:rPr>
          <w:rFonts w:ascii="仿宋_GB2312" w:hAnsi="仿宋" w:eastAsia="仿宋_GB2312"/>
          <w:sz w:val="32"/>
          <w:szCs w:val="32"/>
        </w:rPr>
      </w:pPr>
      <w:r>
        <w:rPr>
          <w:rFonts w:hint="eastAsia" w:ascii="仿宋_GB2312" w:hAnsi="仿宋" w:eastAsia="仿宋_GB2312"/>
          <w:sz w:val="32"/>
          <w:szCs w:val="32"/>
        </w:rPr>
        <w:t>14、动物疫病防控：重大动物</w:t>
      </w:r>
      <w:r>
        <w:rPr>
          <w:rFonts w:hint="eastAsia" w:ascii="仿宋_GB2312" w:hAnsi="仿宋" w:eastAsia="仿宋_GB2312"/>
          <w:sz w:val="32"/>
          <w:szCs w:val="32"/>
          <w:lang w:eastAsia="zh-CN"/>
        </w:rPr>
        <w:t>疫病防治</w:t>
      </w:r>
      <w:r>
        <w:rPr>
          <w:rFonts w:hint="eastAsia" w:ascii="仿宋_GB2312" w:hAnsi="仿宋" w:eastAsia="仿宋_GB2312"/>
          <w:sz w:val="32"/>
          <w:szCs w:val="32"/>
        </w:rPr>
        <w:t>实行“预防为主，防重于治”的方针和“加强领导、密切配合、依靠科学、依法防治、群防群控、果断处置”的防控原则。突出规模养殖场、交通沿线、城乡接合部和新老疫区等重点区域和高致病性禽流感、牲畜口蹄疫、高致病性猪蓝耳病、猪瘟、鸡新城疫等重大疫病，做到应免尽免，不留空档。</w:t>
      </w:r>
    </w:p>
    <w:p>
      <w:pPr>
        <w:pStyle w:val="6"/>
        <w:shd w:val="clear" w:color="auto" w:fill="FFFFFF"/>
        <w:wordWrap w:val="0"/>
        <w:spacing w:before="0" w:beforeAutospacing="0" w:after="0" w:afterAutospacing="0"/>
        <w:ind w:firstLine="640" w:firstLineChars="200"/>
        <w:rPr>
          <w:rFonts w:ascii="仿宋_GB2312" w:hAnsi="仿宋" w:eastAsia="仿宋_GB2312" w:cs="黑体"/>
          <w:kern w:val="2"/>
          <w:sz w:val="32"/>
          <w:szCs w:val="32"/>
        </w:rPr>
      </w:pPr>
      <w:r>
        <w:rPr>
          <w:rFonts w:hint="eastAsia" w:ascii="仿宋_GB2312" w:hAnsi="仿宋" w:eastAsia="仿宋_GB2312" w:cs="黑体"/>
          <w:kern w:val="2"/>
          <w:sz w:val="32"/>
          <w:szCs w:val="32"/>
        </w:rPr>
        <w:t>15、渔政执法：负责渔政渔港监督管理，负责对水面渔业活动的执法检查，对一般案件进行处理；统一管理和调度渔政船；对渔船、渔港、渔民实行水上安全监督检查，维护渔业生产秩序，协助渔政科调查渔业生产纠纷；协助巢湖水上公安分局维护水上渔业治安秩序，调处水上交通事故，进行水上救助；开展水生珍贵濒危动物的保护，配合渔政科调查水域污染事故。</w:t>
      </w:r>
    </w:p>
    <w:p>
      <w:pPr>
        <w:ind w:firstLine="643" w:firstLineChars="200"/>
        <w:rPr>
          <w:rFonts w:ascii="黑体" w:hAnsi="黑体" w:eastAsia="黑体" w:cs="宋体-方正超大字符集"/>
          <w:b/>
          <w:bCs/>
          <w:sz w:val="32"/>
          <w:szCs w:val="32"/>
        </w:rPr>
      </w:pPr>
      <w:r>
        <w:rPr>
          <w:rFonts w:hint="eastAsia" w:ascii="黑体" w:hAnsi="黑体" w:eastAsia="黑体" w:cs="宋体-方正超大字符集"/>
          <w:b/>
          <w:bCs/>
          <w:sz w:val="32"/>
          <w:szCs w:val="32"/>
        </w:rPr>
        <w:t>九、其他需要说明的事项</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根据怀政﹝2017﹞29号怀来县人民政府关于印发《怀来县农牧局人财物整合工作方案》的通知的文件精神要求，原怀来县农牧局与原怀来县农牧局畜牧水产办公室合并为怀来县农牧局，所以 2018年度财政预算合并编制。</w:t>
      </w:r>
    </w:p>
    <w:p>
      <w:pPr>
        <w:ind w:firstLine="640" w:firstLineChars="200"/>
        <w:rPr>
          <w:rFonts w:ascii="Times New Roman" w:hAnsi="Times New Roman" w:eastAsia="仿宋" w:cs="Times New Roman"/>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宋体-方正超大字符集">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ZDc1ZWRlZWRiNjU1MzRiYTQ1MDNiZTIwMzkzZDIifQ=="/>
  </w:docVars>
  <w:rsids>
    <w:rsidRoot w:val="0027733F"/>
    <w:rsid w:val="00040FBA"/>
    <w:rsid w:val="0004490B"/>
    <w:rsid w:val="000604DF"/>
    <w:rsid w:val="00063D95"/>
    <w:rsid w:val="0008675D"/>
    <w:rsid w:val="000B6658"/>
    <w:rsid w:val="0013228E"/>
    <w:rsid w:val="00147449"/>
    <w:rsid w:val="001914FC"/>
    <w:rsid w:val="001E76D6"/>
    <w:rsid w:val="0027733F"/>
    <w:rsid w:val="002B6A8B"/>
    <w:rsid w:val="002E4731"/>
    <w:rsid w:val="003277EC"/>
    <w:rsid w:val="00383DE4"/>
    <w:rsid w:val="00456D84"/>
    <w:rsid w:val="0047702B"/>
    <w:rsid w:val="0053055E"/>
    <w:rsid w:val="00552334"/>
    <w:rsid w:val="00583207"/>
    <w:rsid w:val="005C0CBE"/>
    <w:rsid w:val="00621DB1"/>
    <w:rsid w:val="00657CF5"/>
    <w:rsid w:val="006D7083"/>
    <w:rsid w:val="00706035"/>
    <w:rsid w:val="0075485D"/>
    <w:rsid w:val="007B0F2A"/>
    <w:rsid w:val="007F1AB5"/>
    <w:rsid w:val="008003BA"/>
    <w:rsid w:val="00817B30"/>
    <w:rsid w:val="0085745B"/>
    <w:rsid w:val="00875035"/>
    <w:rsid w:val="00886F9B"/>
    <w:rsid w:val="008C091D"/>
    <w:rsid w:val="008E291B"/>
    <w:rsid w:val="00913A2C"/>
    <w:rsid w:val="00917E38"/>
    <w:rsid w:val="009D6E60"/>
    <w:rsid w:val="00A261AE"/>
    <w:rsid w:val="00A6187E"/>
    <w:rsid w:val="00A753D0"/>
    <w:rsid w:val="00C426A0"/>
    <w:rsid w:val="00CF63FB"/>
    <w:rsid w:val="00D1707F"/>
    <w:rsid w:val="00D366E9"/>
    <w:rsid w:val="00D80F10"/>
    <w:rsid w:val="00D85FC9"/>
    <w:rsid w:val="00DC7AA5"/>
    <w:rsid w:val="00E57005"/>
    <w:rsid w:val="00F171F2"/>
    <w:rsid w:val="00FC112A"/>
    <w:rsid w:val="14ED095E"/>
    <w:rsid w:val="18171EF7"/>
    <w:rsid w:val="33451645"/>
    <w:rsid w:val="562239CA"/>
    <w:rsid w:val="57534253"/>
    <w:rsid w:val="794B43A3"/>
    <w:rsid w:val="7E005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autoRedefine/>
    <w:qFormat/>
    <w:uiPriority w:val="0"/>
    <w:rPr>
      <w:rFonts w:ascii="Times New Roman" w:hAnsi="Times New Roman" w:cs="Times New Roman"/>
      <w:szCs w:val="24"/>
    </w:rPr>
  </w:style>
  <w:style w:type="paragraph" w:styleId="5">
    <w:name w:val="toc 2"/>
    <w:basedOn w:val="1"/>
    <w:next w:val="1"/>
    <w:autoRedefine/>
    <w:qFormat/>
    <w:uiPriority w:val="0"/>
    <w:pPr>
      <w:ind w:left="420" w:leftChars="200"/>
    </w:pPr>
    <w:rPr>
      <w:rFonts w:ascii="Times New Roman" w:hAnsi="Times New Roman" w:cs="Times New Roman"/>
      <w:szCs w:val="24"/>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脚 字符"/>
    <w:link w:val="2"/>
    <w:autoRedefine/>
    <w:semiHidden/>
    <w:qFormat/>
    <w:uiPriority w:val="0"/>
    <w:rPr>
      <w:rFonts w:ascii="Times New Roman" w:hAnsi="Times New Roman" w:eastAsia="宋体" w:cs="Times New Roman"/>
      <w:sz w:val="18"/>
      <w:szCs w:val="18"/>
    </w:rPr>
  </w:style>
  <w:style w:type="character" w:customStyle="1" w:styleId="10">
    <w:name w:val="页眉 字符"/>
    <w:link w:val="3"/>
    <w:semiHidden/>
    <w:uiPriority w:val="0"/>
    <w:rPr>
      <w:rFonts w:ascii="Times New Roman" w:hAnsi="Times New Roman" w:eastAsia="宋体" w:cs="Times New Roman"/>
      <w:sz w:val="18"/>
      <w:szCs w:val="18"/>
    </w:rPr>
  </w:style>
  <w:style w:type="paragraph" w:customStyle="1" w:styleId="11">
    <w:name w:val="Char"/>
    <w:basedOn w:val="1"/>
    <w:qFormat/>
    <w:uiPriority w:val="0"/>
    <w:rPr>
      <w:rFonts w:ascii="Times New Roman" w:hAnsi="Times New Roman" w:cs="Times New Roman"/>
      <w:szCs w:val="24"/>
    </w:rPr>
  </w:style>
  <w:style w:type="paragraph" w:customStyle="1" w:styleId="12">
    <w:name w:val="Defaul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28</Pages>
  <Words>10429</Words>
  <Characters>11671</Characters>
  <Lines>92</Lines>
  <Paragraphs>25</Paragraphs>
  <TotalTime>94</TotalTime>
  <ScaleCrop>false</ScaleCrop>
  <LinksUpToDate>false</LinksUpToDate>
  <CharactersWithSpaces>11854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Administrator</cp:lastModifiedBy>
  <cp:lastPrinted>2017-02-09T01:57:00Z</cp:lastPrinted>
  <dcterms:modified xsi:type="dcterms:W3CDTF">2024-06-05T01:56:22Z</dcterms:modified>
  <dc:title>Administrator</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9F9F8DEE73E045CDB10AC28D2A781CA1_13</vt:lpwstr>
  </property>
</Properties>
</file>