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Times New Roman" w:eastAsia="方正小标宋_GBK" w:cs="Times New Roman"/>
          <w:bCs/>
          <w:sz w:val="44"/>
          <w:szCs w:val="44"/>
        </w:rPr>
      </w:pPr>
      <w:bookmarkStart w:id="4" w:name="_GoBack"/>
      <w:bookmarkEnd w:id="4"/>
      <w:r>
        <w:rPr>
          <w:rFonts w:hint="eastAsia" w:ascii="方正小标宋_GBK" w:hAnsi="Times New Roman" w:eastAsia="方正小标宋_GBK" w:cs="Times New Roman"/>
          <w:bCs/>
          <w:sz w:val="44"/>
          <w:szCs w:val="44"/>
        </w:rPr>
        <w:t>怀来县融媒体中心（怀来县广播电视台）</w:t>
      </w:r>
    </w:p>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2024年单位预算信息公开情况说明</w:t>
      </w:r>
    </w:p>
    <w:p>
      <w:pPr>
        <w:ind w:firstLine="640" w:firstLineChars="200"/>
        <w:jc w:val="center"/>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《中华人民共和国预算法》、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将怀来县融媒体中心（怀来县广播电视台）2024年单位</w:t>
      </w:r>
      <w:r>
        <w:rPr>
          <w:rFonts w:ascii="仿宋" w:hAnsi="仿宋" w:eastAsia="仿宋" w:cs="Times New Roman"/>
          <w:sz w:val="32"/>
          <w:szCs w:val="32"/>
        </w:rPr>
        <w:t>预算公开如下：</w:t>
      </w:r>
    </w:p>
    <w:p>
      <w:pPr>
        <w:numPr>
          <w:ilvl w:val="0"/>
          <w:numId w:val="1"/>
        </w:numPr>
        <w:spacing w:line="360" w:lineRule="auto"/>
        <w:ind w:firstLine="640" w:firstLineChars="200"/>
        <w:rPr>
          <w:rFonts w:ascii="黑体" w:eastAsia="黑体"/>
          <w:sz w:val="32"/>
          <w:szCs w:val="32"/>
        </w:rPr>
      </w:pPr>
      <w:r>
        <w:rPr>
          <w:rFonts w:hint="eastAsia" w:ascii="黑体" w:eastAsia="黑体"/>
          <w:sz w:val="32"/>
          <w:szCs w:val="32"/>
        </w:rPr>
        <w:t>单位职责及机构设置情况</w:t>
      </w:r>
    </w:p>
    <w:p>
      <w:pPr>
        <w:spacing w:line="360" w:lineRule="auto"/>
        <w:ind w:firstLine="640" w:firstLineChars="200"/>
        <w:rPr>
          <w:rFonts w:ascii="黑体" w:eastAsia="黑体"/>
          <w:sz w:val="32"/>
          <w:szCs w:val="32"/>
        </w:rPr>
      </w:pPr>
      <w:r>
        <w:rPr>
          <w:rFonts w:hint="eastAsia" w:ascii="黑体" w:eastAsia="黑体"/>
          <w:sz w:val="32"/>
          <w:szCs w:val="32"/>
        </w:rPr>
        <w:t>单位职责：</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一、贯彻执行党和国家有关新闻宣传、广播电视、网络管理等方面的方针政策和法律法规规章。根据国家、省、市、县总体规划和要求，拟定我县融媒体事业发展规划、计划，经批准后组织实施。</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全面、准确、及时宣传党的路线、方针、政策，充分发挥党和政府的喉舌作用，负责全县广播电视、网络、报刊宣传工作。研究新闻采编报道中的重大问题，组织全局性重大宣传报道活动，不断提高宣传质量，引导准确舆论导向。</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三、贯彻执行国家广播电视技术政策标准，为全县提供广播电视无线发射、传输网络的建设服务，推动广播影视新媒体的发展。</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四、负责上级批准的广播、电视等频率频道资源的使用和管理。管理摄录、制作、演播、发射等重要技术装备。</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五、负责广播电视、</w:t>
      </w:r>
      <w:r>
        <w:rPr>
          <w:rFonts w:ascii="仿宋" w:hAnsi="仿宋" w:eastAsia="仿宋" w:cs="Times New Roman"/>
          <w:sz w:val="32"/>
          <w:szCs w:val="32"/>
        </w:rPr>
        <w:t>“</w:t>
      </w:r>
      <w:r>
        <w:rPr>
          <w:rFonts w:hint="eastAsia" w:ascii="仿宋" w:hAnsi="仿宋" w:eastAsia="仿宋" w:cs="Times New Roman"/>
          <w:sz w:val="32"/>
          <w:szCs w:val="32"/>
        </w:rPr>
        <w:t>两微一端</w:t>
      </w:r>
      <w:r>
        <w:rPr>
          <w:rFonts w:ascii="仿宋" w:hAnsi="仿宋" w:eastAsia="仿宋" w:cs="Times New Roman"/>
          <w:sz w:val="32"/>
          <w:szCs w:val="32"/>
        </w:rPr>
        <w:t>”</w:t>
      </w:r>
      <w:r>
        <w:rPr>
          <w:rFonts w:hint="eastAsia" w:ascii="仿宋" w:hAnsi="仿宋" w:eastAsia="仿宋" w:cs="Times New Roman"/>
          <w:sz w:val="32"/>
          <w:szCs w:val="32"/>
        </w:rPr>
        <w:t>等新媒体的管理与运营，加大新闻、广告及各类视听节目的采编、、传播及创新创优，加大媒体新技术推广应用，不断推进传统媒体与新兴媒介的深度融合。</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六、负责做好</w:t>
      </w:r>
      <w:r>
        <w:rPr>
          <w:rFonts w:ascii="仿宋" w:hAnsi="仿宋" w:eastAsia="仿宋" w:cs="Times New Roman"/>
          <w:sz w:val="32"/>
          <w:szCs w:val="32"/>
        </w:rPr>
        <w:t>“</w:t>
      </w:r>
      <w:r>
        <w:rPr>
          <w:rFonts w:hint="eastAsia" w:ascii="仿宋" w:hAnsi="仿宋" w:eastAsia="仿宋" w:cs="Times New Roman"/>
          <w:sz w:val="32"/>
          <w:szCs w:val="32"/>
        </w:rPr>
        <w:t>媒体</w:t>
      </w:r>
      <w:r>
        <w:rPr>
          <w:rFonts w:ascii="仿宋" w:hAnsi="仿宋" w:eastAsia="仿宋" w:cs="Times New Roman"/>
          <w:sz w:val="32"/>
          <w:szCs w:val="32"/>
        </w:rPr>
        <w:t>+”</w:t>
      </w:r>
      <w:r>
        <w:rPr>
          <w:rFonts w:hint="eastAsia" w:ascii="仿宋" w:hAnsi="仿宋" w:eastAsia="仿宋" w:cs="Times New Roman"/>
          <w:sz w:val="32"/>
          <w:szCs w:val="32"/>
        </w:rPr>
        <w:t>工作创新，探索推动媒体与党务、政务、生活、社交、教育培训等服务的深度融合。</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七、承办县委、县政府和县委宣传部交办的其他任务。</w:t>
      </w:r>
    </w:p>
    <w:p>
      <w:pPr>
        <w:spacing w:line="360" w:lineRule="auto"/>
        <w:jc w:val="left"/>
        <w:rPr>
          <w:rFonts w:ascii="黑体" w:eastAsia="黑体"/>
          <w:sz w:val="32"/>
          <w:szCs w:val="32"/>
        </w:rPr>
      </w:pPr>
      <w:r>
        <w:rPr>
          <w:rFonts w:hint="eastAsia" w:ascii="仿宋" w:hAnsi="仿宋" w:eastAsia="仿宋" w:cs="Times New Roman"/>
          <w:sz w:val="32"/>
          <w:szCs w:val="32"/>
        </w:rPr>
        <w:t xml:space="preserve">    </w:t>
      </w:r>
      <w:r>
        <w:rPr>
          <w:rFonts w:hint="eastAsia" w:ascii="黑体" w:eastAsia="黑体"/>
          <w:sz w:val="32"/>
          <w:szCs w:val="32"/>
        </w:rPr>
        <w:t>单位机构设置</w:t>
      </w:r>
    </w:p>
    <w:p>
      <w:pPr>
        <w:spacing w:line="360" w:lineRule="auto"/>
        <w:jc w:val="center"/>
        <w:outlineLvl w:val="0"/>
        <w:rPr>
          <w:rFonts w:ascii="仿宋" w:hAnsi="仿宋" w:eastAsia="仿宋" w:cs="Times New Roman"/>
          <w:sz w:val="32"/>
          <w:szCs w:val="32"/>
        </w:rPr>
      </w:pPr>
      <w:r>
        <w:rPr>
          <w:rFonts w:hint="eastAsia" w:ascii="仿宋" w:hAnsi="仿宋" w:eastAsia="仿宋" w:cs="Times New Roman"/>
          <w:sz w:val="32"/>
          <w:szCs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57"/>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6617" w:type="dxa"/>
            <w:gridSpan w:val="3"/>
            <w:tcBorders>
              <w:top w:val="single" w:color="FFFFFF" w:sz="6" w:space="0"/>
              <w:left w:val="single" w:color="FFFFFF" w:sz="6" w:space="0"/>
              <w:bottom w:val="single" w:color="000000" w:sz="6" w:space="0"/>
              <w:right w:val="single" w:color="FFFFFF" w:sz="6" w:space="0"/>
            </w:tcBorders>
            <w:vAlign w:val="center"/>
          </w:tcPr>
          <w:p>
            <w:pPr>
              <w:spacing w:line="360" w:lineRule="auto"/>
              <w:jc w:val="left"/>
              <w:rPr>
                <w:rFonts w:ascii="仿宋" w:hAnsi="仿宋" w:eastAsia="仿宋" w:cs="Times New Roman"/>
                <w:sz w:val="32"/>
                <w:szCs w:val="32"/>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pPr>
              <w:spacing w:line="360" w:lineRule="auto"/>
              <w:jc w:val="right"/>
              <w:rPr>
                <w:rFonts w:ascii="仿宋" w:hAnsi="仿宋" w:eastAsia="仿宋" w:cs="Times New Roman"/>
                <w:sz w:val="32"/>
                <w:szCs w:val="32"/>
              </w:rPr>
            </w:pPr>
            <w:r>
              <w:rPr>
                <w:rFonts w:hint="eastAsia" w:ascii="仿宋" w:hAnsi="仿宋" w:eastAsia="仿宋" w:cs="Times New Roman"/>
                <w:sz w:val="32"/>
                <w:szCs w:val="32"/>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1" w:hRule="atLeast"/>
          <w:jc w:val="center"/>
        </w:trPr>
        <w:tc>
          <w:tcPr>
            <w:tcW w:w="365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怀来县融媒体中心（怀来县广播电视台）</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事业</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财政性资金定额或定项补助</w:t>
            </w:r>
          </w:p>
        </w:tc>
      </w:tr>
    </w:tbl>
    <w:p>
      <w:pPr>
        <w:spacing w:line="360" w:lineRule="auto"/>
        <w:rPr>
          <w:rFonts w:ascii="仿宋" w:hAnsi="仿宋" w:eastAsia="仿宋" w:cs="Times New Roman"/>
          <w:sz w:val="32"/>
          <w:szCs w:val="32"/>
        </w:rPr>
      </w:pPr>
    </w:p>
    <w:p>
      <w:pPr>
        <w:spacing w:line="360" w:lineRule="auto"/>
        <w:ind w:left="640"/>
        <w:rPr>
          <w:rFonts w:ascii="仿宋" w:hAnsi="仿宋" w:eastAsia="仿宋"/>
          <w:sz w:val="32"/>
          <w:szCs w:val="32"/>
        </w:rPr>
      </w:pPr>
      <w:r>
        <w:rPr>
          <w:rFonts w:hint="eastAsia" w:ascii="黑体" w:eastAsia="黑体"/>
          <w:sz w:val="32"/>
          <w:szCs w:val="32"/>
        </w:rPr>
        <w:t>二、单位预算安排的总体情况</w:t>
      </w:r>
    </w:p>
    <w:p>
      <w:pPr>
        <w:spacing w:line="360" w:lineRule="auto"/>
        <w:ind w:firstLine="640"/>
        <w:rPr>
          <w:rFonts w:ascii="仿宋" w:hAnsi="仿宋" w:eastAsia="仿宋" w:cs="Times New Roman"/>
          <w:sz w:val="32"/>
          <w:szCs w:val="32"/>
        </w:rPr>
      </w:pPr>
      <w:r>
        <w:rPr>
          <w:rFonts w:ascii="仿宋" w:hAnsi="仿宋" w:eastAsia="仿宋" w:cs="Times New Roman"/>
          <w:sz w:val="32"/>
          <w:szCs w:val="32"/>
        </w:rPr>
        <w:t>按照预算管理有关规定，目前我</w:t>
      </w:r>
      <w:r>
        <w:rPr>
          <w:rFonts w:hint="eastAsia" w:ascii="仿宋" w:hAnsi="仿宋" w:eastAsia="仿宋" w:cs="Times New Roman"/>
          <w:sz w:val="32"/>
          <w:szCs w:val="32"/>
        </w:rPr>
        <w:t>单位</w:t>
      </w:r>
      <w:r>
        <w:rPr>
          <w:rFonts w:ascii="仿宋" w:hAnsi="仿宋" w:eastAsia="仿宋" w:cs="Times New Roman"/>
          <w:sz w:val="32"/>
          <w:szCs w:val="32"/>
        </w:rPr>
        <w:t>预算的编制实行综合预算制度，即全部收入和支出都反映</w:t>
      </w:r>
      <w:r>
        <w:rPr>
          <w:rFonts w:hint="eastAsia" w:ascii="仿宋" w:hAnsi="仿宋" w:eastAsia="仿宋" w:cs="Times New Roman"/>
          <w:sz w:val="32"/>
          <w:szCs w:val="32"/>
        </w:rPr>
        <w:t>在</w:t>
      </w:r>
      <w:r>
        <w:rPr>
          <w:rFonts w:ascii="仿宋" w:hAnsi="仿宋" w:eastAsia="仿宋" w:cs="Times New Roman"/>
          <w:sz w:val="32"/>
          <w:szCs w:val="32"/>
        </w:rPr>
        <w:t>预算中。</w:t>
      </w:r>
    </w:p>
    <w:p>
      <w:pPr>
        <w:spacing w:line="360" w:lineRule="auto"/>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收入说明</w:t>
      </w:r>
    </w:p>
    <w:p>
      <w:pPr>
        <w:spacing w:line="360" w:lineRule="auto"/>
        <w:ind w:firstLine="640"/>
        <w:rPr>
          <w:rFonts w:ascii="仿宋" w:hAnsi="仿宋" w:eastAsia="仿宋" w:cs="Times New Roman"/>
          <w:color w:val="FF0000"/>
          <w:sz w:val="32"/>
          <w:szCs w:val="32"/>
        </w:rPr>
      </w:pPr>
      <w:r>
        <w:rPr>
          <w:rFonts w:hint="eastAsia" w:ascii="仿宋" w:hAnsi="仿宋" w:eastAsia="仿宋" w:cs="Times New Roman"/>
          <w:sz w:val="32"/>
          <w:szCs w:val="32"/>
        </w:rPr>
        <w:t>反</w:t>
      </w:r>
      <w:r>
        <w:rPr>
          <w:rFonts w:hint="eastAsia" w:ascii="仿宋" w:hAnsi="仿宋" w:eastAsia="仿宋" w:cs="Times New Roman"/>
          <w:sz w:val="32"/>
          <w:szCs w:val="32"/>
          <w:lang w:val="en-US" w:eastAsia="zh-CN"/>
        </w:rPr>
        <w:t>映</w:t>
      </w:r>
      <w:r>
        <w:rPr>
          <w:rFonts w:hint="eastAsia" w:ascii="仿宋" w:hAnsi="仿宋" w:eastAsia="仿宋" w:cs="Times New Roman"/>
          <w:sz w:val="32"/>
          <w:szCs w:val="32"/>
        </w:rPr>
        <w:t>本单位当年全部收入。</w:t>
      </w:r>
      <w:r>
        <w:rPr>
          <w:rFonts w:hint="eastAsia" w:ascii="仿宋" w:hAnsi="仿宋" w:eastAsia="仿宋" w:cs="Times New Roman"/>
          <w:color w:val="000000"/>
          <w:sz w:val="32"/>
          <w:szCs w:val="32"/>
        </w:rPr>
        <w:t>2024年预算</w:t>
      </w:r>
      <w:r>
        <w:rPr>
          <w:rFonts w:hint="eastAsia" w:ascii="仿宋" w:hAnsi="仿宋" w:eastAsia="仿宋" w:cs="Times New Roman"/>
          <w:color w:val="000000"/>
          <w:sz w:val="32"/>
          <w:szCs w:val="32"/>
          <w:shd w:val="clear" w:color="auto" w:fill="FFFFFF"/>
        </w:rPr>
        <w:t>收入1163.56万元</w:t>
      </w:r>
      <w:r>
        <w:rPr>
          <w:rFonts w:hint="eastAsia" w:ascii="仿宋" w:hAnsi="仿宋" w:eastAsia="仿宋" w:cs="Times New Roman"/>
          <w:color w:val="000000"/>
          <w:sz w:val="32"/>
          <w:szCs w:val="32"/>
        </w:rPr>
        <w:t>，其中</w:t>
      </w:r>
      <w:r>
        <w:rPr>
          <w:rFonts w:hint="eastAsia" w:ascii="仿宋" w:hAnsi="仿宋" w:eastAsia="仿宋" w:cs="Times New Roman"/>
          <w:sz w:val="32"/>
          <w:szCs w:val="32"/>
        </w:rPr>
        <w:t>：一般公共预算收入1163.56万元，基金预算收入0万元，财政专户核拨收入0万元，其他来源收入0万元。</w:t>
      </w:r>
      <w:r>
        <w:rPr>
          <w:rFonts w:hint="eastAsia" w:ascii="仿宋" w:hAnsi="仿宋" w:eastAsia="仿宋" w:cs="Times New Roman"/>
          <w:color w:val="FF0000"/>
          <w:sz w:val="32"/>
          <w:szCs w:val="32"/>
        </w:rPr>
        <w:t xml:space="preserve"> </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支出说明</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收支预算总表支出栏、基本支出表、项目支出表按经济分类和支出功能分类科目编制，反映怀来县融媒体中心（怀来县广播电视台）单位预算中支出预算的总体情况。2024年单位支出预算为1163.56万元，其中基本支出849.06万元，包括人员经费782.46万元和日常公用经费66.60万元；项目支出314.50万元，主要为 《怀来专题片》资金29.50万元；《新怀来》报编辑发行费用48万元；融媒体中心建设提升资金189万元；新媒体平台运营费用48万元。</w:t>
      </w:r>
    </w:p>
    <w:p>
      <w:pPr>
        <w:ind w:firstLine="64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比上年增减情况</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2024年，单位预算收支安排1163.56万元，较上年减少387.08万元，其中：基本支出减少226.58万元，主要是由于人员经费减少223.56万元；日常公用经费减少3.02万元。项目支出减少160.50万元，主要是由于2024年预算项目减少了。</w:t>
      </w:r>
    </w:p>
    <w:p>
      <w:pPr>
        <w:autoSpaceDE w:val="0"/>
        <w:autoSpaceDN w:val="0"/>
        <w:adjustRightInd w:val="0"/>
        <w:spacing w:line="360" w:lineRule="auto"/>
        <w:ind w:firstLine="640" w:firstLineChars="2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spacing w:line="360" w:lineRule="auto"/>
        <w:ind w:firstLine="640" w:firstLineChars="200"/>
        <w:jc w:val="left"/>
        <w:rPr>
          <w:rFonts w:eastAsia="仿宋" w:cs="Times New Roman"/>
          <w:sz w:val="32"/>
          <w:szCs w:val="32"/>
        </w:rPr>
      </w:pPr>
      <w:r>
        <w:rPr>
          <w:rFonts w:hint="eastAsia" w:eastAsia="仿宋" w:cs="Times New Roman"/>
          <w:sz w:val="32"/>
          <w:szCs w:val="32"/>
        </w:rPr>
        <w:t>我单位为差额事业单位无机关运行经费安排情况。</w:t>
      </w:r>
    </w:p>
    <w:p>
      <w:pPr>
        <w:autoSpaceDE w:val="0"/>
        <w:autoSpaceDN w:val="0"/>
        <w:adjustRightInd w:val="0"/>
        <w:spacing w:line="360" w:lineRule="auto"/>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spacing w:line="360" w:lineRule="auto"/>
        <w:ind w:firstLine="640" w:firstLineChars="200"/>
        <w:jc w:val="left"/>
        <w:rPr>
          <w:rFonts w:eastAsia="仿宋" w:cs="Times New Roman"/>
          <w:color w:val="000000"/>
          <w:sz w:val="32"/>
          <w:szCs w:val="32"/>
        </w:rPr>
      </w:pPr>
      <w:r>
        <w:rPr>
          <w:rFonts w:hint="eastAsia" w:eastAsia="仿宋" w:cs="Times New Roman"/>
          <w:sz w:val="32"/>
          <w:szCs w:val="32"/>
        </w:rPr>
        <w:t>2024年，</w:t>
      </w:r>
      <w:r>
        <w:rPr>
          <w:rFonts w:hint="eastAsia" w:ascii="仿宋" w:hAnsi="仿宋" w:eastAsia="仿宋" w:cs="Times New Roman"/>
          <w:sz w:val="32"/>
          <w:szCs w:val="32"/>
        </w:rPr>
        <w:t>怀来县融媒体中心（怀来县广播电视台）单位</w:t>
      </w:r>
      <w:r>
        <w:rPr>
          <w:rFonts w:hint="eastAsia" w:eastAsia="仿宋" w:cs="Times New Roman"/>
          <w:color w:val="000000"/>
          <w:sz w:val="32"/>
          <w:szCs w:val="32"/>
        </w:rPr>
        <w:t>财政拨款“三公”经费预算安排0万元，其中：因公出国（境）费0万元；公务用车购置及运维费0万元（其中：公务用车运行维护费0万元，公务用车购置费0万元)；公务接待费0万元。“三公”经费比上年减少0万元，其中因公出国（境）费减少0万元。公务用车购置及运维费减少0万元（其中：公务用车运行维护费减少0万元，公务用车购置费减少0万元)。公务接待费减少0万元。原因为2024年无公务接待预算安排。</w:t>
      </w:r>
    </w:p>
    <w:p>
      <w:pPr>
        <w:autoSpaceDE w:val="0"/>
        <w:autoSpaceDN w:val="0"/>
        <w:adjustRightInd w:val="0"/>
        <w:spacing w:line="360" w:lineRule="auto"/>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五、绩效预算信息</w:t>
      </w:r>
    </w:p>
    <w:p>
      <w:pPr>
        <w:autoSpaceDE w:val="0"/>
        <w:autoSpaceDN w:val="0"/>
        <w:adjustRightInd w:val="0"/>
        <w:spacing w:line="360" w:lineRule="auto"/>
        <w:ind w:firstLine="643" w:firstLineChars="200"/>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pPr>
        <w:autoSpaceDE w:val="0"/>
        <w:autoSpaceDN w:val="0"/>
        <w:adjustRightInd w:val="0"/>
        <w:spacing w:line="360" w:lineRule="auto"/>
        <w:ind w:firstLine="640" w:firstLineChars="200"/>
        <w:jc w:val="left"/>
      </w:pPr>
      <w:r>
        <w:rPr>
          <w:rFonts w:eastAsia="仿宋"/>
          <w:color w:val="000000"/>
          <w:sz w:val="32"/>
          <w:szCs w:val="32"/>
        </w:rPr>
        <w:t>怀来县融媒体中心(怀来县广播电视台)202</w:t>
      </w:r>
      <w:r>
        <w:rPr>
          <w:rFonts w:hint="eastAsia" w:eastAsia="仿宋"/>
          <w:color w:val="000000"/>
          <w:sz w:val="32"/>
          <w:szCs w:val="32"/>
        </w:rPr>
        <w:t>4</w:t>
      </w:r>
      <w:r>
        <w:rPr>
          <w:rFonts w:eastAsia="仿宋"/>
          <w:color w:val="000000"/>
          <w:sz w:val="32"/>
          <w:szCs w:val="32"/>
        </w:rPr>
        <w:t>年绩效目标</w:t>
      </w:r>
      <w:r>
        <w:rPr>
          <w:rFonts w:hint="eastAsia" w:eastAsia="仿宋"/>
          <w:color w:val="000000"/>
          <w:sz w:val="32"/>
          <w:szCs w:val="32"/>
        </w:rPr>
        <w:t>:</w:t>
      </w:r>
    </w:p>
    <w:p>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2024年，怀来县融媒体中心将深入学习贯彻习近平总书记关于宣传思想工作的重要论述，</w:t>
      </w:r>
      <w:r>
        <w:rPr>
          <w:rFonts w:ascii="仿宋" w:hAnsi="仿宋" w:eastAsia="仿宋" w:cs="Times New Roman"/>
          <w:color w:val="000000"/>
          <w:sz w:val="32"/>
          <w:szCs w:val="32"/>
        </w:rPr>
        <w:t>坚持</w:t>
      </w:r>
      <w:r>
        <w:rPr>
          <w:rFonts w:hint="eastAsia" w:ascii="仿宋" w:hAnsi="仿宋" w:eastAsia="仿宋" w:cs="Times New Roman"/>
          <w:color w:val="000000"/>
          <w:sz w:val="32"/>
          <w:szCs w:val="32"/>
        </w:rPr>
        <w:t>以习近平新时代中国特色社会主义思想为指导，紧紧围绕我县的中心任务和工作大局，推动宣传思想文化工作取得实效，</w:t>
      </w:r>
      <w:r>
        <w:rPr>
          <w:rFonts w:ascii="仿宋" w:hAnsi="仿宋" w:eastAsia="仿宋" w:cs="Times New Roman"/>
          <w:color w:val="000000"/>
          <w:sz w:val="32"/>
          <w:szCs w:val="32"/>
        </w:rPr>
        <w:t>坚守意识形态和宣传思想工作阵地</w:t>
      </w:r>
      <w:r>
        <w:rPr>
          <w:rFonts w:hint="eastAsia" w:ascii="仿宋" w:hAnsi="仿宋" w:eastAsia="仿宋" w:cs="Times New Roman"/>
          <w:color w:val="000000"/>
          <w:sz w:val="32"/>
          <w:szCs w:val="32"/>
        </w:rPr>
        <w:t>，讲好怀来故事，传播怀来声音，为全县经济社会高质量发展营造良好的舆论氛围，贡献“融媒力量”。</w:t>
      </w:r>
    </w:p>
    <w:p>
      <w:pPr>
        <w:numPr>
          <w:ilvl w:val="0"/>
          <w:numId w:val="2"/>
        </w:numPr>
        <w:adjustRightInd w:val="0"/>
        <w:snapToGrid w:val="0"/>
        <w:spacing w:line="600" w:lineRule="exact"/>
        <w:ind w:firstLine="643" w:firstLineChars="200"/>
        <w:rPr>
          <w:rFonts w:ascii="仿宋" w:hAnsi="仿宋" w:eastAsia="仿宋" w:cs="Times New Roman"/>
          <w:b/>
          <w:bCs/>
          <w:color w:val="000000"/>
          <w:sz w:val="32"/>
          <w:szCs w:val="32"/>
        </w:rPr>
      </w:pPr>
      <w:r>
        <w:rPr>
          <w:rFonts w:hint="eastAsia" w:ascii="仿宋" w:hAnsi="仿宋" w:eastAsia="仿宋" w:cs="Times New Roman"/>
          <w:b/>
          <w:bCs/>
          <w:color w:val="000000"/>
          <w:sz w:val="32"/>
          <w:szCs w:val="32"/>
        </w:rPr>
        <w:t>依托多元媒体，</w:t>
      </w:r>
      <w:r>
        <w:rPr>
          <w:rFonts w:ascii="仿宋" w:hAnsi="仿宋" w:eastAsia="仿宋" w:cs="Times New Roman"/>
          <w:b/>
          <w:bCs/>
          <w:color w:val="000000"/>
          <w:sz w:val="32"/>
          <w:szCs w:val="32"/>
        </w:rPr>
        <w:t>持续发挥好媒体宣传效力</w:t>
      </w:r>
    </w:p>
    <w:p>
      <w:pPr>
        <w:spacing w:line="600" w:lineRule="exact"/>
        <w:ind w:firstLine="640" w:firstLineChars="200"/>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2024年是怀来县官厅水库建成70周年，作为河北省张家口市怀来县亮眼的名片，我中心将做好对官厅水库及周边旅游资源的宣传，按照“生态+文旅”的发展理念，以官厅水库为载体，以文旅特色产业运营为支撑，促进环境优势转化为经济优势，形成生态保护与文旅产业的深度融合，推动地区绿色高质量发展。</w:t>
      </w:r>
      <w:r>
        <w:rPr>
          <w:rFonts w:ascii="仿宋" w:hAnsi="仿宋" w:eastAsia="仿宋" w:cs="Times New Roman"/>
          <w:color w:val="000000"/>
          <w:sz w:val="32"/>
          <w:szCs w:val="32"/>
        </w:rPr>
        <w:t>持续做好“这么近，这么美，周末到河北”宣传，全力打响怀来文旅重大品牌，助力我县文化旅游、健康养生、特色农牧等主导产业高质量发展</w:t>
      </w:r>
      <w:r>
        <w:rPr>
          <w:rFonts w:hint="eastAsia" w:ascii="仿宋" w:hAnsi="仿宋" w:eastAsia="仿宋" w:cs="Times New Roman"/>
          <w:color w:val="000000"/>
          <w:sz w:val="32"/>
          <w:szCs w:val="32"/>
        </w:rPr>
        <w:t>，</w:t>
      </w:r>
      <w:r>
        <w:rPr>
          <w:rFonts w:ascii="仿宋" w:hAnsi="仿宋" w:eastAsia="仿宋" w:cs="Times New Roman"/>
          <w:color w:val="000000"/>
          <w:sz w:val="32"/>
          <w:szCs w:val="32"/>
        </w:rPr>
        <w:t>并通过多形式、多平台循环播放的方式提升宣传作品的持续影响力</w:t>
      </w:r>
      <w:r>
        <w:rPr>
          <w:rFonts w:hint="eastAsia" w:ascii="仿宋" w:hAnsi="仿宋" w:eastAsia="仿宋" w:cs="Times New Roman"/>
          <w:color w:val="000000"/>
          <w:sz w:val="32"/>
          <w:szCs w:val="32"/>
        </w:rPr>
        <w:t>。</w:t>
      </w:r>
    </w:p>
    <w:p>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在京津冀协同发展国家战略提出十周年之际，</w:t>
      </w:r>
      <w:r>
        <w:rPr>
          <w:rFonts w:hint="eastAsia" w:ascii="仿宋" w:hAnsi="仿宋" w:eastAsia="仿宋" w:cs="Times New Roman"/>
          <w:color w:val="000000"/>
          <w:sz w:val="32"/>
          <w:szCs w:val="32"/>
        </w:rPr>
        <w:t>我中心将针对</w:t>
      </w:r>
      <w:r>
        <w:rPr>
          <w:rFonts w:hint="eastAsia" w:ascii="仿宋" w:hAnsi="仿宋" w:eastAsia="仿宋"/>
          <w:sz w:val="32"/>
          <w:szCs w:val="32"/>
        </w:rPr>
        <w:t>京津冀协同发展战略，</w:t>
      </w:r>
      <w:r>
        <w:rPr>
          <w:rFonts w:ascii="仿宋" w:hAnsi="仿宋" w:eastAsia="仿宋" w:cs="Times New Roman"/>
          <w:color w:val="000000"/>
          <w:spacing w:val="8"/>
          <w:sz w:val="32"/>
          <w:szCs w:val="32"/>
        </w:rPr>
        <w:t>在“两微一端”、抖音等网络新媒体平台</w:t>
      </w:r>
      <w:r>
        <w:rPr>
          <w:rFonts w:hint="eastAsia" w:ascii="仿宋" w:hAnsi="仿宋" w:eastAsia="仿宋" w:cs="Times New Roman"/>
          <w:color w:val="000000"/>
          <w:spacing w:val="8"/>
          <w:sz w:val="32"/>
          <w:szCs w:val="32"/>
        </w:rPr>
        <w:t>开设专栏，</w:t>
      </w:r>
      <w:r>
        <w:rPr>
          <w:rFonts w:ascii="仿宋" w:hAnsi="仿宋" w:eastAsia="仿宋" w:cs="Times New Roman"/>
          <w:sz w:val="32"/>
          <w:szCs w:val="32"/>
        </w:rPr>
        <w:t>策划制作</w:t>
      </w:r>
      <w:r>
        <w:rPr>
          <w:rFonts w:hint="eastAsia" w:ascii="仿宋" w:hAnsi="仿宋" w:eastAsia="仿宋" w:cs="Times New Roman"/>
          <w:sz w:val="32"/>
          <w:szCs w:val="32"/>
        </w:rPr>
        <w:t>一</w:t>
      </w:r>
      <w:r>
        <w:rPr>
          <w:rFonts w:ascii="仿宋" w:hAnsi="仿宋" w:eastAsia="仿宋" w:cs="Times New Roman"/>
          <w:sz w:val="32"/>
          <w:szCs w:val="32"/>
        </w:rPr>
        <w:t>系列宣传报道</w:t>
      </w:r>
      <w:r>
        <w:rPr>
          <w:rFonts w:hint="eastAsia" w:ascii="仿宋" w:hAnsi="仿宋" w:eastAsia="仿宋" w:cs="Times New Roman"/>
          <w:sz w:val="32"/>
          <w:szCs w:val="32"/>
        </w:rPr>
        <w:t>，</w:t>
      </w:r>
      <w:r>
        <w:rPr>
          <w:rFonts w:hint="eastAsia" w:ascii="仿宋" w:hAnsi="仿宋" w:eastAsia="仿宋" w:cs="Times New Roman"/>
          <w:color w:val="000000"/>
          <w:spacing w:val="8"/>
          <w:sz w:val="32"/>
          <w:szCs w:val="32"/>
        </w:rPr>
        <w:t>助力</w:t>
      </w:r>
      <w:r>
        <w:rPr>
          <w:rFonts w:ascii="仿宋" w:hAnsi="仿宋" w:eastAsia="仿宋" w:cs="Times New Roman"/>
          <w:color w:val="000000"/>
          <w:sz w:val="32"/>
          <w:szCs w:val="32"/>
        </w:rPr>
        <w:t>京津冀协同发展国家战略</w:t>
      </w:r>
      <w:r>
        <w:rPr>
          <w:rFonts w:hint="eastAsia" w:ascii="仿宋" w:hAnsi="仿宋" w:eastAsia="仿宋" w:cs="Times New Roman"/>
          <w:color w:val="000000"/>
          <w:sz w:val="32"/>
          <w:szCs w:val="32"/>
        </w:rPr>
        <w:t>的宣传推进。同时，</w:t>
      </w:r>
      <w:r>
        <w:rPr>
          <w:rFonts w:hint="eastAsia" w:ascii="仿宋" w:hAnsi="仿宋" w:eastAsia="仿宋"/>
          <w:sz w:val="32"/>
          <w:szCs w:val="32"/>
        </w:rPr>
        <w:t>贯彻与延庆区融媒体中心、赤城县融媒体中心签署的“融媒联盟”协议，围绕京张体育文化旅游带建设，实现媒体合作，推进资源共享、新闻互推、人员交流和平安共建等方面开展深入合作。</w:t>
      </w:r>
    </w:p>
    <w:p>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color w:val="000000"/>
          <w:sz w:val="32"/>
          <w:szCs w:val="32"/>
        </w:rPr>
        <w:t>3.</w:t>
      </w:r>
      <w:r>
        <w:rPr>
          <w:rFonts w:hint="eastAsia" w:ascii="仿宋" w:hAnsi="仿宋" w:eastAsia="仿宋" w:cs="Times New Roman"/>
          <w:sz w:val="32"/>
          <w:szCs w:val="32"/>
        </w:rPr>
        <w:t>为进一步加大宣传力度，扎实开展营商环境整治提升活动，营造优化营商环境的浓厚氛围，我中心将加强对营商环境的宣传工作，运用多种媒体平台大力宣传营商环境政策知识，提高广大社会群众的营商环境政策知识水平，深入贯彻中央、省、市优化营商环境决策部署，着力解决影响营商环境的难点、堵点、痛点，实现政务服务更加便捷高效，</w:t>
      </w:r>
      <w:r>
        <w:rPr>
          <w:rFonts w:ascii="仿宋" w:hAnsi="仿宋" w:eastAsia="仿宋" w:cs="Times New Roman"/>
          <w:sz w:val="32"/>
          <w:szCs w:val="32"/>
        </w:rPr>
        <w:t>助力全县优化营商环境工作</w:t>
      </w:r>
      <w:r>
        <w:rPr>
          <w:rFonts w:hint="eastAsia" w:ascii="仿宋" w:hAnsi="仿宋" w:eastAsia="仿宋" w:cs="Times New Roman"/>
          <w:sz w:val="32"/>
          <w:szCs w:val="32"/>
        </w:rPr>
        <w:t>。</w:t>
      </w:r>
    </w:p>
    <w:p>
      <w:pPr>
        <w:pStyle w:val="2"/>
        <w:widowControl w:val="0"/>
        <w:numPr>
          <w:ilvl w:val="0"/>
          <w:numId w:val="2"/>
        </w:numPr>
        <w:spacing w:before="0" w:beforeAutospacing="0" w:after="0" w:afterAutospacing="0" w:line="600" w:lineRule="exact"/>
        <w:ind w:firstLine="643" w:firstLineChars="200"/>
        <w:jc w:val="both"/>
        <w:rPr>
          <w:rFonts w:hint="eastAsia" w:ascii="仿宋" w:hAnsi="仿宋" w:eastAsia="仿宋" w:cs="Times New Roman"/>
          <w:sz w:val="32"/>
          <w:szCs w:val="32"/>
        </w:rPr>
      </w:pPr>
      <w:r>
        <w:rPr>
          <w:rFonts w:hint="eastAsia" w:ascii="仿宋" w:hAnsi="仿宋" w:eastAsia="仿宋" w:cs="Times New Roman"/>
          <w:b/>
          <w:bCs/>
          <w:color w:val="000000"/>
          <w:sz w:val="32"/>
          <w:szCs w:val="32"/>
        </w:rPr>
        <w:t>依</w:t>
      </w:r>
      <w:r>
        <w:rPr>
          <w:rFonts w:ascii="仿宋" w:hAnsi="仿宋" w:eastAsia="仿宋" w:cs="Times New Roman"/>
          <w:b/>
          <w:bCs/>
          <w:color w:val="000000"/>
          <w:sz w:val="32"/>
          <w:szCs w:val="32"/>
        </w:rPr>
        <w:t>托怀来发布APP</w:t>
      </w:r>
      <w:r>
        <w:rPr>
          <w:rFonts w:hint="eastAsia" w:ascii="仿宋" w:hAnsi="仿宋" w:eastAsia="仿宋" w:cs="Times New Roman"/>
          <w:b/>
          <w:bCs/>
          <w:color w:val="000000"/>
          <w:sz w:val="32"/>
          <w:szCs w:val="32"/>
        </w:rPr>
        <w:t>，深度扩展好媒体政务功能</w:t>
      </w:r>
    </w:p>
    <w:p>
      <w:pPr>
        <w:pStyle w:val="2"/>
        <w:widowControl w:val="0"/>
        <w:spacing w:before="0" w:beforeAutospacing="0" w:after="0" w:afterAutospacing="0" w:line="600" w:lineRule="exact"/>
        <w:ind w:firstLine="640" w:firstLineChars="200"/>
        <w:jc w:val="both"/>
        <w:rPr>
          <w:rFonts w:hint="eastAsia" w:ascii="仿宋" w:hAnsi="仿宋" w:eastAsia="仿宋" w:cs="Times New Roman"/>
          <w:sz w:val="32"/>
          <w:szCs w:val="32"/>
        </w:rPr>
      </w:pPr>
      <w:r>
        <w:rPr>
          <w:rFonts w:hint="eastAsia" w:ascii="仿宋" w:hAnsi="仿宋" w:eastAsia="仿宋" w:cs="Times New Roman"/>
          <w:sz w:val="32"/>
          <w:szCs w:val="32"/>
        </w:rPr>
        <w:t>1.怀来县坚持以优化营商环境行动作为提升为民服务能力和推进全县经济高质量发展的重要突破口，我中心将在怀来发布app开设掌上政务功能，强效提升服务意识，拓宽政策宣传渠道，着力打造高效化、便利化、法治化良好营商氛围，以实际行动助力企业商户健康发展，为推动全县经济社会发展贡献基层力量。</w:t>
      </w:r>
    </w:p>
    <w:p>
      <w:pPr>
        <w:pStyle w:val="2"/>
        <w:widowControl w:val="0"/>
        <w:spacing w:before="0" w:beforeAutospacing="0" w:after="0" w:afterAutospacing="0" w:line="600" w:lineRule="exact"/>
        <w:ind w:firstLine="640" w:firstLineChars="200"/>
        <w:jc w:val="both"/>
        <w:rPr>
          <w:rFonts w:hint="eastAsia" w:ascii="仿宋" w:hAnsi="仿宋" w:eastAsia="仿宋" w:cs="Times New Roman"/>
          <w:sz w:val="32"/>
          <w:szCs w:val="32"/>
        </w:rPr>
      </w:pPr>
      <w:r>
        <w:rPr>
          <w:rFonts w:hint="eastAsia" w:ascii="仿宋" w:hAnsi="仿宋" w:eastAsia="仿宋" w:cs="Times New Roman"/>
          <w:color w:val="000000"/>
          <w:sz w:val="32"/>
          <w:szCs w:val="32"/>
        </w:rPr>
        <w:t>2.</w:t>
      </w:r>
      <w:r>
        <w:rPr>
          <w:rFonts w:hint="eastAsia" w:ascii="仿宋" w:hAnsi="仿宋" w:eastAsia="仿宋" w:cs="Times New Roman"/>
          <w:sz w:val="32"/>
          <w:szCs w:val="32"/>
        </w:rPr>
        <w:t>为推动形成良好的营商环境，提高群众安全感和满意度，我中心坚持党建引领，持续开展优化营商环境宣传活动，在怀来发布app</w:t>
      </w:r>
      <w:r>
        <w:rPr>
          <w:rFonts w:ascii="仿宋" w:hAnsi="仿宋" w:eastAsia="仿宋" w:cs="Times New Roman"/>
          <w:sz w:val="32"/>
          <w:szCs w:val="32"/>
        </w:rPr>
        <w:t>开设《营商在怀来》专栏，助推企业健康有序发展新变化，</w:t>
      </w:r>
      <w:r>
        <w:rPr>
          <w:rFonts w:hint="eastAsia" w:ascii="仿宋" w:hAnsi="仿宋" w:eastAsia="仿宋" w:cs="Times New Roman"/>
          <w:sz w:val="32"/>
          <w:szCs w:val="32"/>
        </w:rPr>
        <w:t>进一步营造良好营商环境和社会氛围，深入挖掘营商环境工作中优秀经验做法，进一步深化宣传引领，为全县优化</w:t>
      </w:r>
      <w:r>
        <w:rPr>
          <w:rFonts w:hint="eastAsia" w:ascii="仿宋" w:hAnsi="仿宋" w:eastAsia="仿宋" w:cs="Times New Roman"/>
          <w:sz w:val="32"/>
          <w:szCs w:val="32"/>
          <w:lang w:val="en-US" w:eastAsia="zh-CN"/>
        </w:rPr>
        <w:t>营</w:t>
      </w:r>
      <w:r>
        <w:rPr>
          <w:rFonts w:hint="eastAsia" w:ascii="仿宋" w:hAnsi="仿宋" w:eastAsia="仿宋" w:cs="Times New Roman"/>
          <w:sz w:val="32"/>
          <w:szCs w:val="32"/>
        </w:rPr>
        <w:t>商环境工作提供有力的宣传舆论支撑。</w:t>
      </w:r>
    </w:p>
    <w:p>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3.近年来，怀来县不断推动农产品电商化建设，推动电子商务和农业融合发展，扩大电商产品规模化，我中心将</w:t>
      </w:r>
      <w:r>
        <w:rPr>
          <w:rFonts w:ascii="仿宋" w:hAnsi="仿宋" w:eastAsia="仿宋" w:cs="Times New Roman"/>
          <w:color w:val="000000"/>
          <w:sz w:val="32"/>
          <w:szCs w:val="32"/>
        </w:rPr>
        <w:t>依托怀来发布APP</w:t>
      </w:r>
      <w:r>
        <w:rPr>
          <w:rFonts w:hint="eastAsia" w:ascii="仿宋" w:hAnsi="仿宋" w:eastAsia="仿宋" w:cs="Times New Roman"/>
          <w:color w:val="000000"/>
          <w:sz w:val="32"/>
          <w:szCs w:val="32"/>
        </w:rPr>
        <w:t>，提供群众对电商的了解渠道，持续发展农产品电子商务，提高农产品生产水平，积极引导农业生产企业和经营主体应用电子商务销售农产品。</w:t>
      </w:r>
    </w:p>
    <w:p>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2024年，我中心</w:t>
      </w:r>
      <w:r>
        <w:rPr>
          <w:rFonts w:ascii="仿宋" w:hAnsi="仿宋" w:eastAsia="仿宋" w:cs="Times New Roman"/>
          <w:color w:val="000000"/>
          <w:sz w:val="32"/>
          <w:szCs w:val="32"/>
        </w:rPr>
        <w:t>继续坚守党媒</w:t>
      </w:r>
      <w:r>
        <w:rPr>
          <w:rFonts w:hint="eastAsia" w:ascii="仿宋" w:hAnsi="仿宋" w:eastAsia="仿宋" w:cs="Times New Roman"/>
          <w:color w:val="000000"/>
          <w:sz w:val="32"/>
          <w:szCs w:val="32"/>
        </w:rPr>
        <w:t>初</w:t>
      </w:r>
      <w:r>
        <w:rPr>
          <w:rFonts w:ascii="仿宋" w:hAnsi="仿宋" w:eastAsia="仿宋" w:cs="Times New Roman"/>
          <w:color w:val="000000"/>
          <w:sz w:val="32"/>
          <w:szCs w:val="32"/>
        </w:rPr>
        <w:t>心，构建主流媒体新业态，牢牢把握政治方向和舆论导向，在新闻宣传、媒体融合、运营建设方面</w:t>
      </w:r>
      <w:r>
        <w:rPr>
          <w:rFonts w:hint="eastAsia" w:ascii="仿宋" w:hAnsi="仿宋" w:eastAsia="仿宋" w:cs="Times New Roman"/>
          <w:color w:val="000000"/>
          <w:sz w:val="32"/>
          <w:szCs w:val="32"/>
        </w:rPr>
        <w:t>再见</w:t>
      </w:r>
      <w:r>
        <w:rPr>
          <w:rFonts w:ascii="仿宋" w:hAnsi="仿宋" w:eastAsia="仿宋" w:cs="Times New Roman"/>
          <w:color w:val="000000"/>
          <w:sz w:val="32"/>
          <w:szCs w:val="32"/>
        </w:rPr>
        <w:t>下功夫持续推出有深度、有温度、有高度的新闻作品，进一步提升融媒影响力，传播怀来声音、讲好怀来故事</w:t>
      </w:r>
      <w:r>
        <w:rPr>
          <w:rFonts w:hint="eastAsia" w:ascii="仿宋" w:hAnsi="仿宋" w:eastAsia="仿宋" w:cs="Times New Roman"/>
          <w:color w:val="000000"/>
          <w:sz w:val="32"/>
          <w:szCs w:val="32"/>
        </w:rPr>
        <w:t>。</w:t>
      </w:r>
    </w:p>
    <w:p>
      <w:pPr>
        <w:autoSpaceDE w:val="0"/>
        <w:autoSpaceDN w:val="0"/>
        <w:adjustRightInd w:val="0"/>
        <w:ind w:left="198"/>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单位职责及工作活动绩效目标指标：</w:t>
      </w:r>
    </w:p>
    <w:p>
      <w:pPr>
        <w:ind w:firstLine="640" w:firstLineChars="200"/>
        <w:jc w:val="left"/>
        <w:outlineLvl w:val="3"/>
        <w:rPr>
          <w:rFonts w:ascii="方正小标宋_GBK" w:eastAsia="方正小标宋_GBK"/>
          <w:sz w:val="32"/>
        </w:rPr>
      </w:pPr>
      <w:bookmarkStart w:id="0" w:name="_Toc509310986"/>
      <w:r>
        <w:rPr>
          <w:rFonts w:hint="eastAsia" w:ascii="方正小标宋_GBK" w:eastAsia="方正小标宋_GBK"/>
          <w:sz w:val="32"/>
        </w:rPr>
        <w:t>单位职责-工作活动绩效目标</w:t>
      </w:r>
      <w:bookmarkEnd w:id="0"/>
    </w:p>
    <w:p>
      <w:pPr>
        <w:jc w:val="center"/>
      </w:pPr>
      <w:r>
        <w:rPr>
          <w:rFonts w:ascii="方正仿宋_GBK" w:hAnsi="方正仿宋_GBK" w:eastAsia="方正仿宋_GBK" w:cs="方正仿宋_GBK"/>
          <w:color w:val="000000"/>
          <w:sz w:val="28"/>
        </w:rPr>
        <w:t xml:space="preserve"> </w:t>
      </w:r>
      <w:bookmarkStart w:id="1" w:name="_Toc_4_4_0000000004"/>
      <w:r>
        <w:rPr>
          <w:rFonts w:hint="eastAsia"/>
        </w:rPr>
        <w:t xml:space="preserve"> </w:t>
      </w:r>
    </w:p>
    <w:p>
      <w:pPr>
        <w:jc w:val="center"/>
      </w:pPr>
      <w:r>
        <w:rPr>
          <w:rFonts w:ascii="方正仿宋_GBK" w:hAnsi="方正仿宋_GBK" w:eastAsia="方正仿宋_GBK" w:cs="方正仿宋_GBK"/>
          <w:color w:val="000000"/>
          <w:sz w:val="28"/>
        </w:rPr>
        <w:t>1.怀财字【</w:t>
      </w:r>
      <w:r>
        <w:rPr>
          <w:rFonts w:hint="eastAsia" w:ascii="方正仿宋_GBK" w:hAnsi="方正仿宋_GBK" w:eastAsia="方正仿宋_GBK" w:cs="方正仿宋_GBK"/>
          <w:color w:val="000000"/>
          <w:sz w:val="28"/>
        </w:rPr>
        <w:t>2024</w:t>
      </w:r>
      <w:r>
        <w:rPr>
          <w:rFonts w:ascii="方正仿宋_GBK" w:hAnsi="方正仿宋_GBK" w:eastAsia="方正仿宋_GBK" w:cs="方正仿宋_GBK"/>
          <w:color w:val="000000"/>
          <w:sz w:val="28"/>
        </w:rPr>
        <w:t xml:space="preserve">】7号 </w:t>
      </w:r>
      <w:r>
        <w:rPr>
          <w:rFonts w:hint="eastAsia" w:ascii="方正仿宋_GBK" w:hAnsi="方正仿宋_GBK" w:eastAsia="方正仿宋_GBK" w:cs="方正仿宋_GBK"/>
          <w:color w:val="000000"/>
          <w:sz w:val="28"/>
        </w:rPr>
        <w:t>怀来专题片资金</w:t>
      </w:r>
      <w:r>
        <w:rPr>
          <w:rFonts w:ascii="方正仿宋_GBK" w:hAnsi="方正仿宋_GBK" w:eastAsia="方正仿宋_GBK" w:cs="方正仿宋_GBK"/>
          <w:color w:val="000000"/>
          <w:sz w:val="28"/>
        </w:rPr>
        <w:t>绩效目标</w:t>
      </w:r>
      <w:bookmarkEnd w:id="1"/>
      <w:r>
        <w:rPr>
          <w:rFonts w:hint="eastAsia" w:ascii="方正仿宋_GBK" w:hAnsi="方正仿宋_GBK" w:eastAsia="方正仿宋_GBK" w:cs="方正仿宋_GBK"/>
          <w:color w:val="000000"/>
          <w:sz w:val="28"/>
        </w:rPr>
        <w:t>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2608" w:type="dxa"/>
            <w:gridSpan w:val="2"/>
            <w:vAlign w:val="center"/>
          </w:tcPr>
          <w:p>
            <w:pPr>
              <w:pStyle w:val="9"/>
            </w:pPr>
            <w:r>
              <w:t>13073023P00005110013P</w:t>
            </w:r>
          </w:p>
        </w:tc>
        <w:tc>
          <w:tcPr>
            <w:tcW w:w="1587" w:type="dxa"/>
            <w:vAlign w:val="center"/>
          </w:tcPr>
          <w:p>
            <w:pPr>
              <w:pStyle w:val="8"/>
            </w:pPr>
            <w:r>
              <w:t>项目名称</w:t>
            </w:r>
          </w:p>
        </w:tc>
        <w:tc>
          <w:tcPr>
            <w:tcW w:w="4422" w:type="dxa"/>
            <w:gridSpan w:val="3"/>
            <w:vAlign w:val="center"/>
          </w:tcPr>
          <w:p>
            <w:pPr>
              <w:pStyle w:val="9"/>
            </w:pPr>
            <w:r>
              <w:rPr>
                <w:rFonts w:hint="eastAsia"/>
              </w:rPr>
              <w:t>怀财字【2024】7号  怀来专题片资金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1276" w:type="dxa"/>
            <w:vAlign w:val="center"/>
          </w:tcPr>
          <w:p>
            <w:pPr>
              <w:pStyle w:val="8"/>
            </w:pPr>
            <w:r>
              <w:t>预算数</w:t>
            </w:r>
          </w:p>
        </w:tc>
        <w:tc>
          <w:tcPr>
            <w:tcW w:w="1332" w:type="dxa"/>
            <w:vAlign w:val="center"/>
          </w:tcPr>
          <w:p>
            <w:pPr>
              <w:pStyle w:val="9"/>
              <w:rPr>
                <w:rFonts w:hint="eastAsia"/>
              </w:rPr>
            </w:pPr>
            <w:r>
              <w:rPr>
                <w:rFonts w:hint="eastAsia"/>
              </w:rPr>
              <w:t>29.5</w:t>
            </w:r>
          </w:p>
        </w:tc>
        <w:tc>
          <w:tcPr>
            <w:tcW w:w="1587" w:type="dxa"/>
            <w:vAlign w:val="center"/>
          </w:tcPr>
          <w:p>
            <w:pPr>
              <w:pStyle w:val="8"/>
            </w:pPr>
            <w:r>
              <w:t>其中：财政    资金</w:t>
            </w:r>
          </w:p>
        </w:tc>
        <w:tc>
          <w:tcPr>
            <w:tcW w:w="1304" w:type="dxa"/>
            <w:vAlign w:val="center"/>
          </w:tcPr>
          <w:p>
            <w:pPr>
              <w:pStyle w:val="9"/>
              <w:rPr>
                <w:rFonts w:hint="eastAsia"/>
              </w:rPr>
            </w:pPr>
            <w:r>
              <w:rPr>
                <w:rFonts w:hint="eastAsia"/>
              </w:rPr>
              <w:t>29.5</w:t>
            </w:r>
          </w:p>
        </w:tc>
        <w:tc>
          <w:tcPr>
            <w:tcW w:w="1276" w:type="dxa"/>
            <w:vAlign w:val="center"/>
          </w:tcPr>
          <w:p>
            <w:pPr>
              <w:pStyle w:val="8"/>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rPr>
                <w:rFonts w:hint="eastAsia"/>
              </w:rPr>
              <w:t>在中央级媒体制作播出怀来专题片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2608" w:type="dxa"/>
            <w:gridSpan w:val="2"/>
            <w:vAlign w:val="center"/>
          </w:tcPr>
          <w:p>
            <w:pPr>
              <w:pStyle w:val="8"/>
            </w:pPr>
            <w:r>
              <w:t>3月底</w:t>
            </w:r>
          </w:p>
        </w:tc>
        <w:tc>
          <w:tcPr>
            <w:tcW w:w="1587" w:type="dxa"/>
            <w:vAlign w:val="center"/>
          </w:tcPr>
          <w:p>
            <w:pPr>
              <w:pStyle w:val="8"/>
            </w:pPr>
            <w:r>
              <w:t>6月底</w:t>
            </w:r>
          </w:p>
        </w:tc>
        <w:tc>
          <w:tcPr>
            <w:tcW w:w="1304" w:type="dxa"/>
            <w:vAlign w:val="center"/>
          </w:tcPr>
          <w:p>
            <w:pPr>
              <w:pStyle w:val="8"/>
            </w:pPr>
            <w:r>
              <w:t>10月底</w:t>
            </w:r>
          </w:p>
        </w:tc>
        <w:tc>
          <w:tcPr>
            <w:tcW w:w="3118"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0"/>
            </w:pPr>
          </w:p>
        </w:tc>
        <w:tc>
          <w:tcPr>
            <w:tcW w:w="1587" w:type="dxa"/>
            <w:vAlign w:val="center"/>
          </w:tcPr>
          <w:p>
            <w:pPr>
              <w:pStyle w:val="10"/>
            </w:pPr>
          </w:p>
        </w:tc>
        <w:tc>
          <w:tcPr>
            <w:tcW w:w="1304" w:type="dxa"/>
            <w:vAlign w:val="center"/>
          </w:tcPr>
          <w:p>
            <w:pPr>
              <w:pStyle w:val="10"/>
            </w:pPr>
            <w:r>
              <w:t>75%</w:t>
            </w:r>
          </w:p>
        </w:tc>
        <w:tc>
          <w:tcPr>
            <w:tcW w:w="3118" w:type="dxa"/>
            <w:gridSpan w:val="2"/>
            <w:vAlign w:val="center"/>
          </w:tcPr>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8617" w:type="dxa"/>
            <w:gridSpan w:val="6"/>
            <w:vAlign w:val="center"/>
          </w:tcPr>
          <w:p>
            <w:pPr>
              <w:pStyle w:val="9"/>
            </w:pPr>
            <w:r>
              <w:t>1.目标内容</w:t>
            </w:r>
            <w:r>
              <w:rPr>
                <w:rFonts w:hint="eastAsia"/>
              </w:rPr>
              <w:t>: 在中央级媒体制作播出怀来专题片</w:t>
            </w:r>
          </w:p>
        </w:tc>
      </w:tr>
    </w:tbl>
    <w:p>
      <w:pPr>
        <w:spacing w:line="2" w:lineRule="exact"/>
        <w:jc w:val="center"/>
      </w:pPr>
      <w:r>
        <w:rPr>
          <w:rFonts w:ascii="方正书宋_GBK" w:hAnsi="方正书宋_GBK" w:eastAsia="方正书宋_GBK" w:cs="方正书宋_GBK"/>
          <w:color w:val="000000"/>
        </w:rPr>
        <w:t xml:space="preserve"> </w:t>
      </w:r>
    </w:p>
    <w:tbl>
      <w:tblPr>
        <w:tblStyle w:val="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054"/>
        <w:gridCol w:w="1560"/>
        <w:gridCol w:w="1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8"/>
            </w:pPr>
            <w:r>
              <w:t>一级指标</w:t>
            </w:r>
          </w:p>
        </w:tc>
        <w:tc>
          <w:tcPr>
            <w:tcW w:w="1327" w:type="dxa"/>
            <w:vAlign w:val="center"/>
          </w:tcPr>
          <w:p>
            <w:pPr>
              <w:pStyle w:val="8"/>
            </w:pPr>
            <w:r>
              <w:t>二级指标</w:t>
            </w:r>
          </w:p>
        </w:tc>
        <w:tc>
          <w:tcPr>
            <w:tcW w:w="1327" w:type="dxa"/>
            <w:vAlign w:val="center"/>
          </w:tcPr>
          <w:p>
            <w:pPr>
              <w:pStyle w:val="8"/>
            </w:pPr>
            <w:r>
              <w:t>三级指标</w:t>
            </w:r>
          </w:p>
        </w:tc>
        <w:tc>
          <w:tcPr>
            <w:tcW w:w="2054" w:type="dxa"/>
            <w:vAlign w:val="center"/>
          </w:tcPr>
          <w:p>
            <w:pPr>
              <w:pStyle w:val="8"/>
            </w:pPr>
            <w:r>
              <w:t>绩效指标描述</w:t>
            </w:r>
          </w:p>
        </w:tc>
        <w:tc>
          <w:tcPr>
            <w:tcW w:w="1560" w:type="dxa"/>
            <w:vAlign w:val="center"/>
          </w:tcPr>
          <w:p>
            <w:pPr>
              <w:pStyle w:val="8"/>
            </w:pPr>
            <w:r>
              <w:t>指标值</w:t>
            </w:r>
          </w:p>
        </w:tc>
        <w:tc>
          <w:tcPr>
            <w:tcW w:w="1694"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0"/>
            </w:pPr>
            <w:r>
              <w:t>产出指标</w:t>
            </w:r>
          </w:p>
        </w:tc>
        <w:tc>
          <w:tcPr>
            <w:tcW w:w="1327" w:type="dxa"/>
            <w:vAlign w:val="center"/>
          </w:tcPr>
          <w:p>
            <w:pPr>
              <w:pStyle w:val="9"/>
            </w:pPr>
            <w:r>
              <w:t>数量指标</w:t>
            </w:r>
          </w:p>
        </w:tc>
        <w:tc>
          <w:tcPr>
            <w:tcW w:w="1327" w:type="dxa"/>
            <w:vAlign w:val="center"/>
          </w:tcPr>
          <w:p>
            <w:pPr>
              <w:pStyle w:val="9"/>
            </w:pPr>
            <w:r>
              <w:rPr>
                <w:rFonts w:hint="eastAsia"/>
              </w:rPr>
              <w:t>媒体视频制作数</w:t>
            </w:r>
          </w:p>
        </w:tc>
        <w:tc>
          <w:tcPr>
            <w:tcW w:w="2054" w:type="dxa"/>
            <w:vAlign w:val="center"/>
          </w:tcPr>
          <w:p>
            <w:pPr>
              <w:pStyle w:val="9"/>
            </w:pPr>
            <w:r>
              <w:rPr>
                <w:rFonts w:hint="eastAsia"/>
              </w:rPr>
              <w:t>媒体视频制作数</w:t>
            </w:r>
          </w:p>
        </w:tc>
        <w:tc>
          <w:tcPr>
            <w:tcW w:w="1560" w:type="dxa"/>
            <w:vAlign w:val="center"/>
          </w:tcPr>
          <w:p>
            <w:pPr>
              <w:pStyle w:val="9"/>
            </w:pPr>
            <w:r>
              <w:rPr>
                <w:rFonts w:hint="eastAsia"/>
              </w:rPr>
              <w:t>≥3条</w:t>
            </w:r>
          </w:p>
        </w:tc>
        <w:tc>
          <w:tcPr>
            <w:tcW w:w="1694" w:type="dxa"/>
            <w:vAlign w:val="center"/>
          </w:tcPr>
          <w:p>
            <w:pPr>
              <w:pStyle w:val="9"/>
              <w:ind w:hanging="10"/>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质量指标</w:t>
            </w:r>
          </w:p>
        </w:tc>
        <w:tc>
          <w:tcPr>
            <w:tcW w:w="1327" w:type="dxa"/>
            <w:vAlign w:val="center"/>
          </w:tcPr>
          <w:p>
            <w:pPr>
              <w:pStyle w:val="9"/>
            </w:pPr>
            <w:r>
              <w:rPr>
                <w:rFonts w:hint="eastAsia"/>
              </w:rPr>
              <w:t>宣传任务完成率</w:t>
            </w:r>
          </w:p>
        </w:tc>
        <w:tc>
          <w:tcPr>
            <w:tcW w:w="2054" w:type="dxa"/>
            <w:vAlign w:val="center"/>
          </w:tcPr>
          <w:p>
            <w:pPr>
              <w:pStyle w:val="9"/>
            </w:pPr>
            <w:r>
              <w:rPr>
                <w:rFonts w:hint="eastAsia"/>
              </w:rPr>
              <w:t>宣传任务完成率</w:t>
            </w:r>
          </w:p>
        </w:tc>
        <w:tc>
          <w:tcPr>
            <w:tcW w:w="1560" w:type="dxa"/>
            <w:vAlign w:val="center"/>
          </w:tcPr>
          <w:p>
            <w:pPr>
              <w:pStyle w:val="9"/>
            </w:pPr>
            <w:r>
              <w:rPr>
                <w:rFonts w:hint="eastAsia" w:ascii="Arial" w:hAnsi="Arial" w:cs="Arial"/>
              </w:rPr>
              <w:t>≥95</w:t>
            </w:r>
            <w:r>
              <w:t>%</w:t>
            </w:r>
          </w:p>
        </w:tc>
        <w:tc>
          <w:tcPr>
            <w:tcW w:w="1694" w:type="dxa"/>
            <w:vAlign w:val="center"/>
          </w:tcPr>
          <w:p>
            <w:pPr>
              <w:pStyle w:val="9"/>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时效指标</w:t>
            </w:r>
          </w:p>
        </w:tc>
        <w:tc>
          <w:tcPr>
            <w:tcW w:w="1327" w:type="dxa"/>
            <w:vAlign w:val="center"/>
          </w:tcPr>
          <w:p>
            <w:pPr>
              <w:pStyle w:val="9"/>
            </w:pPr>
            <w:r>
              <w:rPr>
                <w:rFonts w:hint="eastAsia"/>
              </w:rPr>
              <w:t>任务完成及时率</w:t>
            </w:r>
          </w:p>
        </w:tc>
        <w:tc>
          <w:tcPr>
            <w:tcW w:w="2054" w:type="dxa"/>
            <w:vAlign w:val="center"/>
          </w:tcPr>
          <w:p>
            <w:pPr>
              <w:pStyle w:val="9"/>
            </w:pPr>
            <w:r>
              <w:rPr>
                <w:rFonts w:hint="eastAsia"/>
              </w:rPr>
              <w:t>任务完成及时程度</w:t>
            </w:r>
          </w:p>
        </w:tc>
        <w:tc>
          <w:tcPr>
            <w:tcW w:w="1560" w:type="dxa"/>
            <w:vAlign w:val="center"/>
          </w:tcPr>
          <w:p>
            <w:pPr>
              <w:pStyle w:val="9"/>
            </w:pPr>
            <w:r>
              <w:rPr>
                <w:rFonts w:ascii="Arial" w:hAnsi="Arial" w:cs="Arial"/>
              </w:rPr>
              <w:t>≥</w:t>
            </w:r>
            <w:r>
              <w:rPr>
                <w:rFonts w:hint="eastAsia"/>
              </w:rPr>
              <w:t>95%</w:t>
            </w:r>
          </w:p>
        </w:tc>
        <w:tc>
          <w:tcPr>
            <w:tcW w:w="1694" w:type="dxa"/>
            <w:vAlign w:val="center"/>
          </w:tcPr>
          <w:p>
            <w:pPr>
              <w:pStyle w:val="9"/>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成本指标</w:t>
            </w:r>
          </w:p>
        </w:tc>
        <w:tc>
          <w:tcPr>
            <w:tcW w:w="1327" w:type="dxa"/>
            <w:vAlign w:val="center"/>
          </w:tcPr>
          <w:p>
            <w:pPr>
              <w:pStyle w:val="9"/>
            </w:pPr>
            <w:r>
              <w:rPr>
                <w:rFonts w:hint="eastAsia"/>
              </w:rPr>
              <w:t>预算控制数</w:t>
            </w:r>
          </w:p>
        </w:tc>
        <w:tc>
          <w:tcPr>
            <w:tcW w:w="2054" w:type="dxa"/>
            <w:vAlign w:val="center"/>
          </w:tcPr>
          <w:p>
            <w:pPr>
              <w:pStyle w:val="9"/>
            </w:pPr>
            <w:r>
              <w:rPr>
                <w:rFonts w:hint="eastAsia"/>
              </w:rPr>
              <w:t>不超过预算控制数</w:t>
            </w:r>
          </w:p>
        </w:tc>
        <w:tc>
          <w:tcPr>
            <w:tcW w:w="1560" w:type="dxa"/>
            <w:vAlign w:val="center"/>
          </w:tcPr>
          <w:p>
            <w:pPr>
              <w:pStyle w:val="9"/>
            </w:pPr>
            <w:r>
              <w:rPr>
                <w:rFonts w:hint="eastAsia" w:ascii="Arial" w:hAnsi="Arial" w:cs="Arial"/>
              </w:rPr>
              <w:t>=29.5</w:t>
            </w:r>
            <w:r>
              <w:rPr>
                <w:rFonts w:hint="eastAsia"/>
              </w:rPr>
              <w:t>万元</w:t>
            </w:r>
          </w:p>
        </w:tc>
        <w:tc>
          <w:tcPr>
            <w:tcW w:w="1694" w:type="dxa"/>
            <w:vAlign w:val="center"/>
          </w:tcPr>
          <w:p>
            <w:pPr>
              <w:pStyle w:val="9"/>
            </w:pPr>
            <w:r>
              <w:rPr>
                <w:rFonts w:hint="eastAsia"/>
              </w:rP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0"/>
            </w:pPr>
            <w:r>
              <w:t>效益指标</w:t>
            </w:r>
          </w:p>
        </w:tc>
        <w:tc>
          <w:tcPr>
            <w:tcW w:w="1327" w:type="dxa"/>
            <w:vAlign w:val="center"/>
          </w:tcPr>
          <w:p>
            <w:pPr>
              <w:pStyle w:val="9"/>
            </w:pPr>
            <w:r>
              <w:t>社会效益指标</w:t>
            </w:r>
          </w:p>
        </w:tc>
        <w:tc>
          <w:tcPr>
            <w:tcW w:w="1327" w:type="dxa"/>
            <w:vAlign w:val="center"/>
          </w:tcPr>
          <w:p>
            <w:pPr>
              <w:pStyle w:val="9"/>
            </w:pPr>
            <w:r>
              <w:rPr>
                <w:rFonts w:hint="eastAsia"/>
              </w:rPr>
              <w:t>宣传扩大影响</w:t>
            </w:r>
          </w:p>
        </w:tc>
        <w:tc>
          <w:tcPr>
            <w:tcW w:w="2054" w:type="dxa"/>
            <w:vAlign w:val="center"/>
          </w:tcPr>
          <w:p>
            <w:pPr>
              <w:pStyle w:val="9"/>
            </w:pPr>
            <w:r>
              <w:rPr>
                <w:rFonts w:hint="eastAsia"/>
              </w:rPr>
              <w:t>通过中央级媒体宣传扩大我县影响</w:t>
            </w:r>
          </w:p>
        </w:tc>
        <w:tc>
          <w:tcPr>
            <w:tcW w:w="1560" w:type="dxa"/>
            <w:vAlign w:val="center"/>
          </w:tcPr>
          <w:p>
            <w:pPr>
              <w:pStyle w:val="9"/>
            </w:pPr>
            <w:r>
              <w:rPr>
                <w:rFonts w:hint="eastAsia"/>
              </w:rPr>
              <w:t>能宣传扩大影响</w:t>
            </w:r>
          </w:p>
        </w:tc>
        <w:tc>
          <w:tcPr>
            <w:tcW w:w="1694" w:type="dxa"/>
            <w:vAlign w:val="center"/>
          </w:tcPr>
          <w:p>
            <w:pPr>
              <w:pStyle w:val="9"/>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0"/>
            </w:pPr>
          </w:p>
        </w:tc>
        <w:tc>
          <w:tcPr>
            <w:tcW w:w="1327" w:type="dxa"/>
            <w:vAlign w:val="center"/>
          </w:tcPr>
          <w:p>
            <w:pPr>
              <w:pStyle w:val="9"/>
            </w:pPr>
            <w:r>
              <w:rPr>
                <w:rFonts w:hint="eastAsia"/>
              </w:rPr>
              <w:t>可持续影响指标</w:t>
            </w:r>
          </w:p>
        </w:tc>
        <w:tc>
          <w:tcPr>
            <w:tcW w:w="1327" w:type="dxa"/>
            <w:vAlign w:val="center"/>
          </w:tcPr>
          <w:p>
            <w:pPr>
              <w:pStyle w:val="9"/>
            </w:pPr>
            <w:r>
              <w:rPr>
                <w:rFonts w:hint="eastAsia"/>
              </w:rPr>
              <w:t>持续提升我县影响</w:t>
            </w:r>
          </w:p>
        </w:tc>
        <w:tc>
          <w:tcPr>
            <w:tcW w:w="2054" w:type="dxa"/>
            <w:vAlign w:val="center"/>
          </w:tcPr>
          <w:p>
            <w:pPr>
              <w:pStyle w:val="9"/>
            </w:pPr>
            <w:r>
              <w:rPr>
                <w:rFonts w:hint="eastAsia"/>
              </w:rPr>
              <w:t>能否长期使用持续提升我县影响</w:t>
            </w:r>
          </w:p>
        </w:tc>
        <w:tc>
          <w:tcPr>
            <w:tcW w:w="1560" w:type="dxa"/>
            <w:vAlign w:val="center"/>
          </w:tcPr>
          <w:p>
            <w:pPr>
              <w:pStyle w:val="9"/>
            </w:pPr>
            <w:r>
              <w:rPr>
                <w:rFonts w:hint="eastAsia"/>
              </w:rPr>
              <w:t>能持续提升</w:t>
            </w:r>
          </w:p>
        </w:tc>
        <w:tc>
          <w:tcPr>
            <w:tcW w:w="1694" w:type="dxa"/>
            <w:vAlign w:val="center"/>
          </w:tcPr>
          <w:p>
            <w:pPr>
              <w:pStyle w:val="9"/>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0"/>
            </w:pPr>
            <w:r>
              <w:t>满意度指标</w:t>
            </w:r>
          </w:p>
        </w:tc>
        <w:tc>
          <w:tcPr>
            <w:tcW w:w="1327" w:type="dxa"/>
            <w:vAlign w:val="center"/>
          </w:tcPr>
          <w:p>
            <w:pPr>
              <w:pStyle w:val="9"/>
            </w:pPr>
            <w:r>
              <w:t>服务对象满意度指标</w:t>
            </w:r>
          </w:p>
        </w:tc>
        <w:tc>
          <w:tcPr>
            <w:tcW w:w="1327" w:type="dxa"/>
            <w:vAlign w:val="center"/>
          </w:tcPr>
          <w:p>
            <w:pPr>
              <w:pStyle w:val="9"/>
            </w:pPr>
            <w:r>
              <w:t>满意度</w:t>
            </w:r>
          </w:p>
        </w:tc>
        <w:tc>
          <w:tcPr>
            <w:tcW w:w="2054" w:type="dxa"/>
            <w:vAlign w:val="center"/>
          </w:tcPr>
          <w:p>
            <w:pPr>
              <w:pStyle w:val="9"/>
            </w:pPr>
            <w:r>
              <w:rPr>
                <w:rFonts w:hint="eastAsia"/>
              </w:rPr>
              <w:t>受益群众的满意程度</w:t>
            </w:r>
          </w:p>
        </w:tc>
        <w:tc>
          <w:tcPr>
            <w:tcW w:w="1560" w:type="dxa"/>
            <w:vAlign w:val="center"/>
          </w:tcPr>
          <w:p>
            <w:pPr>
              <w:pStyle w:val="9"/>
            </w:pPr>
            <w:r>
              <w:t>≥</w:t>
            </w:r>
            <w:r>
              <w:rPr>
                <w:rFonts w:hint="eastAsia"/>
              </w:rPr>
              <w:t>9</w:t>
            </w:r>
            <w:r>
              <w:t>5%</w:t>
            </w:r>
          </w:p>
        </w:tc>
        <w:tc>
          <w:tcPr>
            <w:tcW w:w="1694" w:type="dxa"/>
            <w:vAlign w:val="center"/>
          </w:tcPr>
          <w:p>
            <w:pPr>
              <w:pStyle w:val="9"/>
            </w:pPr>
            <w:r>
              <w:rPr>
                <w:rFonts w:hint="eastAsia"/>
              </w:rPr>
              <w:t>年初工作计划</w:t>
            </w:r>
          </w:p>
        </w:tc>
      </w:tr>
    </w:tbl>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pPr>
      <w:r>
        <w:rPr>
          <w:rFonts w:hint="eastAsia" w:ascii="方正仿宋_GBK" w:hAnsi="方正仿宋_GBK" w:eastAsia="方正仿宋_GBK" w:cs="方正仿宋_GBK"/>
          <w:color w:val="000000"/>
          <w:sz w:val="28"/>
        </w:rPr>
        <w:t>2</w:t>
      </w:r>
      <w:r>
        <w:rPr>
          <w:rFonts w:ascii="方正仿宋_GBK" w:hAnsi="方正仿宋_GBK" w:eastAsia="方正仿宋_GBK" w:cs="方正仿宋_GBK"/>
          <w:color w:val="000000"/>
          <w:sz w:val="28"/>
        </w:rPr>
        <w:t>.怀财字【202</w:t>
      </w:r>
      <w:r>
        <w:rPr>
          <w:rFonts w:hint="eastAsia" w:ascii="方正仿宋_GBK" w:hAnsi="方正仿宋_GBK" w:eastAsia="方正仿宋_GBK" w:cs="方正仿宋_GBK"/>
          <w:color w:val="000000"/>
          <w:sz w:val="28"/>
        </w:rPr>
        <w:t>4</w:t>
      </w:r>
      <w:r>
        <w:rPr>
          <w:rFonts w:ascii="方正仿宋_GBK" w:hAnsi="方正仿宋_GBK" w:eastAsia="方正仿宋_GBK" w:cs="方正仿宋_GBK"/>
          <w:color w:val="000000"/>
          <w:sz w:val="28"/>
        </w:rPr>
        <w:t>】7号  《新怀来》报编辑发行费用绩效目标</w:t>
      </w:r>
      <w:r>
        <w:rPr>
          <w:rFonts w:hint="eastAsia" w:ascii="方正仿宋_GBK" w:hAnsi="方正仿宋_GBK" w:eastAsia="方正仿宋_GBK" w:cs="方正仿宋_GBK"/>
          <w:color w:val="000000"/>
          <w:sz w:val="28"/>
        </w:rPr>
        <w:t>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2608" w:type="dxa"/>
            <w:gridSpan w:val="2"/>
            <w:vAlign w:val="center"/>
          </w:tcPr>
          <w:p>
            <w:pPr>
              <w:pStyle w:val="9"/>
            </w:pPr>
            <w:r>
              <w:t>13073023P00005110013P</w:t>
            </w:r>
          </w:p>
        </w:tc>
        <w:tc>
          <w:tcPr>
            <w:tcW w:w="1587" w:type="dxa"/>
            <w:vAlign w:val="center"/>
          </w:tcPr>
          <w:p>
            <w:pPr>
              <w:pStyle w:val="8"/>
            </w:pPr>
            <w:r>
              <w:t>项目名称</w:t>
            </w:r>
          </w:p>
        </w:tc>
        <w:tc>
          <w:tcPr>
            <w:tcW w:w="4422" w:type="dxa"/>
            <w:gridSpan w:val="3"/>
            <w:vAlign w:val="center"/>
          </w:tcPr>
          <w:p>
            <w:pPr>
              <w:pStyle w:val="9"/>
            </w:pPr>
            <w:r>
              <w:t>怀财字【202</w:t>
            </w:r>
            <w:r>
              <w:rPr>
                <w:rFonts w:hint="eastAsia"/>
              </w:rPr>
              <w:t>4</w:t>
            </w:r>
            <w:r>
              <w:t>】7号  《新怀来》报编辑发行费用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1276" w:type="dxa"/>
            <w:vAlign w:val="center"/>
          </w:tcPr>
          <w:p>
            <w:pPr>
              <w:pStyle w:val="8"/>
            </w:pPr>
            <w:r>
              <w:t>预算数</w:t>
            </w:r>
          </w:p>
        </w:tc>
        <w:tc>
          <w:tcPr>
            <w:tcW w:w="1332" w:type="dxa"/>
            <w:vAlign w:val="center"/>
          </w:tcPr>
          <w:p>
            <w:pPr>
              <w:pStyle w:val="9"/>
            </w:pPr>
            <w:r>
              <w:rPr>
                <w:rFonts w:hint="eastAsia"/>
              </w:rPr>
              <w:t>48</w:t>
            </w:r>
            <w:r>
              <w:t>.00</w:t>
            </w:r>
          </w:p>
        </w:tc>
        <w:tc>
          <w:tcPr>
            <w:tcW w:w="1587" w:type="dxa"/>
            <w:vAlign w:val="center"/>
          </w:tcPr>
          <w:p>
            <w:pPr>
              <w:pStyle w:val="8"/>
            </w:pPr>
            <w:r>
              <w:t>其中：财政    资金</w:t>
            </w:r>
          </w:p>
        </w:tc>
        <w:tc>
          <w:tcPr>
            <w:tcW w:w="1304" w:type="dxa"/>
            <w:vAlign w:val="center"/>
          </w:tcPr>
          <w:p>
            <w:pPr>
              <w:pStyle w:val="9"/>
            </w:pPr>
            <w:r>
              <w:rPr>
                <w:rFonts w:hint="eastAsia"/>
              </w:rPr>
              <w:t>48</w:t>
            </w:r>
            <w:r>
              <w:t>.00</w:t>
            </w:r>
          </w:p>
        </w:tc>
        <w:tc>
          <w:tcPr>
            <w:tcW w:w="1276" w:type="dxa"/>
            <w:vAlign w:val="center"/>
          </w:tcPr>
          <w:p>
            <w:pPr>
              <w:pStyle w:val="8"/>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用于202</w:t>
            </w:r>
            <w:r>
              <w:rPr>
                <w:rFonts w:hint="eastAsia"/>
              </w:rPr>
              <w:t>4</w:t>
            </w:r>
            <w:r>
              <w:t>年《新怀来》报的编辑、排版设计、审核、发行等相关费用。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2608" w:type="dxa"/>
            <w:gridSpan w:val="2"/>
            <w:vAlign w:val="center"/>
          </w:tcPr>
          <w:p>
            <w:pPr>
              <w:pStyle w:val="8"/>
            </w:pPr>
            <w:r>
              <w:t>3月底</w:t>
            </w:r>
          </w:p>
        </w:tc>
        <w:tc>
          <w:tcPr>
            <w:tcW w:w="1587" w:type="dxa"/>
            <w:vAlign w:val="center"/>
          </w:tcPr>
          <w:p>
            <w:pPr>
              <w:pStyle w:val="8"/>
            </w:pPr>
            <w:r>
              <w:t>6月底</w:t>
            </w:r>
          </w:p>
        </w:tc>
        <w:tc>
          <w:tcPr>
            <w:tcW w:w="1304" w:type="dxa"/>
            <w:vAlign w:val="center"/>
          </w:tcPr>
          <w:p>
            <w:pPr>
              <w:pStyle w:val="8"/>
            </w:pPr>
            <w:r>
              <w:t>10月底</w:t>
            </w:r>
          </w:p>
        </w:tc>
        <w:tc>
          <w:tcPr>
            <w:tcW w:w="3118"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0"/>
            </w:pPr>
            <w:r>
              <w:t>25%</w:t>
            </w:r>
          </w:p>
        </w:tc>
        <w:tc>
          <w:tcPr>
            <w:tcW w:w="1587" w:type="dxa"/>
            <w:vAlign w:val="center"/>
          </w:tcPr>
          <w:p>
            <w:pPr>
              <w:pStyle w:val="10"/>
            </w:pPr>
            <w:r>
              <w:t>50%</w:t>
            </w:r>
          </w:p>
        </w:tc>
        <w:tc>
          <w:tcPr>
            <w:tcW w:w="1304" w:type="dxa"/>
            <w:vAlign w:val="center"/>
          </w:tcPr>
          <w:p>
            <w:pPr>
              <w:pStyle w:val="10"/>
            </w:pPr>
            <w:r>
              <w:t>75%</w:t>
            </w:r>
          </w:p>
        </w:tc>
        <w:tc>
          <w:tcPr>
            <w:tcW w:w="3118"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8617" w:type="dxa"/>
            <w:gridSpan w:val="6"/>
            <w:vAlign w:val="center"/>
          </w:tcPr>
          <w:p>
            <w:pPr>
              <w:pStyle w:val="9"/>
            </w:pPr>
            <w:r>
              <w:t>1.目标内容</w:t>
            </w:r>
            <w:r>
              <w:rPr>
                <w:rFonts w:hint="eastAsia"/>
              </w:rPr>
              <w:t>:通过资金投入完成 2024 年深入推进新闻宣传高质量发展工作、进一步深化媒体融合改革舆论引导服务大众上取得新突破</w:t>
            </w:r>
          </w:p>
        </w:tc>
      </w:tr>
    </w:tbl>
    <w:p>
      <w:pPr>
        <w:spacing w:line="2" w:lineRule="exact"/>
        <w:jc w:val="center"/>
      </w:pPr>
      <w:r>
        <w:rPr>
          <w:rFonts w:ascii="方正书宋_GBK" w:hAnsi="方正书宋_GBK" w:eastAsia="方正书宋_GBK" w:cs="方正书宋_GBK"/>
          <w:color w:val="000000"/>
        </w:rPr>
        <w:t xml:space="preserve"> </w:t>
      </w:r>
    </w:p>
    <w:tbl>
      <w:tblPr>
        <w:tblStyle w:val="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054"/>
        <w:gridCol w:w="1560"/>
        <w:gridCol w:w="1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8"/>
            </w:pPr>
            <w:r>
              <w:t>一级指标</w:t>
            </w:r>
          </w:p>
        </w:tc>
        <w:tc>
          <w:tcPr>
            <w:tcW w:w="1327" w:type="dxa"/>
            <w:vAlign w:val="center"/>
          </w:tcPr>
          <w:p>
            <w:pPr>
              <w:pStyle w:val="8"/>
            </w:pPr>
            <w:r>
              <w:t>二级指标</w:t>
            </w:r>
          </w:p>
        </w:tc>
        <w:tc>
          <w:tcPr>
            <w:tcW w:w="1327" w:type="dxa"/>
            <w:vAlign w:val="center"/>
          </w:tcPr>
          <w:p>
            <w:pPr>
              <w:pStyle w:val="8"/>
            </w:pPr>
            <w:r>
              <w:t>三级指标</w:t>
            </w:r>
          </w:p>
        </w:tc>
        <w:tc>
          <w:tcPr>
            <w:tcW w:w="2054" w:type="dxa"/>
            <w:vAlign w:val="center"/>
          </w:tcPr>
          <w:p>
            <w:pPr>
              <w:pStyle w:val="8"/>
            </w:pPr>
            <w:r>
              <w:t>绩效指标描述</w:t>
            </w:r>
          </w:p>
        </w:tc>
        <w:tc>
          <w:tcPr>
            <w:tcW w:w="1560" w:type="dxa"/>
            <w:vAlign w:val="center"/>
          </w:tcPr>
          <w:p>
            <w:pPr>
              <w:pStyle w:val="8"/>
            </w:pPr>
            <w:r>
              <w:t>指标值</w:t>
            </w:r>
          </w:p>
        </w:tc>
        <w:tc>
          <w:tcPr>
            <w:tcW w:w="1694"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0"/>
            </w:pPr>
            <w:r>
              <w:t>产出指标</w:t>
            </w:r>
          </w:p>
        </w:tc>
        <w:tc>
          <w:tcPr>
            <w:tcW w:w="1327" w:type="dxa"/>
            <w:vAlign w:val="center"/>
          </w:tcPr>
          <w:p>
            <w:pPr>
              <w:pStyle w:val="9"/>
            </w:pPr>
            <w:r>
              <w:t>数量指标</w:t>
            </w:r>
          </w:p>
        </w:tc>
        <w:tc>
          <w:tcPr>
            <w:tcW w:w="1327" w:type="dxa"/>
            <w:vAlign w:val="center"/>
          </w:tcPr>
          <w:p>
            <w:pPr>
              <w:pStyle w:val="9"/>
            </w:pPr>
            <w:r>
              <w:t>编发刊物信息数量</w:t>
            </w:r>
          </w:p>
        </w:tc>
        <w:tc>
          <w:tcPr>
            <w:tcW w:w="2054" w:type="dxa"/>
            <w:vAlign w:val="center"/>
          </w:tcPr>
          <w:p>
            <w:pPr>
              <w:pStyle w:val="9"/>
            </w:pPr>
            <w:r>
              <w:t>编发刊物信息数量（期）</w:t>
            </w:r>
          </w:p>
        </w:tc>
        <w:tc>
          <w:tcPr>
            <w:tcW w:w="1560" w:type="dxa"/>
            <w:vAlign w:val="center"/>
          </w:tcPr>
          <w:p>
            <w:pPr>
              <w:pStyle w:val="9"/>
              <w:rPr>
                <w:rFonts w:hint="eastAsia"/>
              </w:rPr>
            </w:pPr>
            <w:r>
              <w:rPr>
                <w:rFonts w:ascii="Arial" w:hAnsi="Arial" w:cs="Arial"/>
              </w:rPr>
              <w:t>≥</w:t>
            </w:r>
            <w:r>
              <w:rPr>
                <w:rFonts w:hint="eastAsia" w:ascii="Arial" w:hAnsi="Arial" w:cs="Arial"/>
              </w:rPr>
              <w:t>46大于等于46期，全年编发报纸期数达到46期以上</w:t>
            </w:r>
          </w:p>
        </w:tc>
        <w:tc>
          <w:tcPr>
            <w:tcW w:w="1694" w:type="dxa"/>
            <w:vAlign w:val="center"/>
          </w:tcPr>
          <w:p>
            <w:pPr>
              <w:pStyle w:val="9"/>
              <w:ind w:hanging="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质量指标</w:t>
            </w:r>
          </w:p>
        </w:tc>
        <w:tc>
          <w:tcPr>
            <w:tcW w:w="1327" w:type="dxa"/>
            <w:vAlign w:val="center"/>
          </w:tcPr>
          <w:p>
            <w:pPr>
              <w:pStyle w:val="9"/>
            </w:pPr>
            <w:r>
              <w:rPr>
                <w:rFonts w:hint="eastAsia"/>
              </w:rPr>
              <w:t>重大活动采用率</w:t>
            </w:r>
          </w:p>
        </w:tc>
        <w:tc>
          <w:tcPr>
            <w:tcW w:w="2054" w:type="dxa"/>
            <w:vAlign w:val="center"/>
          </w:tcPr>
          <w:p>
            <w:pPr>
              <w:pStyle w:val="9"/>
            </w:pPr>
            <w:r>
              <w:rPr>
                <w:rFonts w:hint="eastAsia"/>
              </w:rPr>
              <w:t>重大采用率</w:t>
            </w:r>
          </w:p>
        </w:tc>
        <w:tc>
          <w:tcPr>
            <w:tcW w:w="1560" w:type="dxa"/>
            <w:vAlign w:val="center"/>
          </w:tcPr>
          <w:p>
            <w:pPr>
              <w:pStyle w:val="9"/>
            </w:pPr>
            <w:r>
              <w:t>≥</w:t>
            </w:r>
            <w:r>
              <w:rPr>
                <w:rFonts w:hint="eastAsia" w:ascii="Arial" w:hAnsi="Arial" w:cs="Arial"/>
              </w:rPr>
              <w:t>80</w:t>
            </w:r>
          </w:p>
        </w:tc>
        <w:tc>
          <w:tcPr>
            <w:tcW w:w="1694"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时效指标</w:t>
            </w:r>
          </w:p>
        </w:tc>
        <w:tc>
          <w:tcPr>
            <w:tcW w:w="1327" w:type="dxa"/>
            <w:vAlign w:val="center"/>
          </w:tcPr>
          <w:p>
            <w:pPr>
              <w:pStyle w:val="9"/>
            </w:pPr>
            <w:r>
              <w:t>及时率</w:t>
            </w:r>
          </w:p>
        </w:tc>
        <w:tc>
          <w:tcPr>
            <w:tcW w:w="2054" w:type="dxa"/>
            <w:vAlign w:val="center"/>
          </w:tcPr>
          <w:p>
            <w:pPr>
              <w:pStyle w:val="9"/>
            </w:pPr>
            <w:r>
              <w:t>报刊编辑发行完成及时率</w:t>
            </w:r>
          </w:p>
        </w:tc>
        <w:tc>
          <w:tcPr>
            <w:tcW w:w="1560" w:type="dxa"/>
            <w:vAlign w:val="center"/>
          </w:tcPr>
          <w:p>
            <w:pPr>
              <w:pStyle w:val="9"/>
            </w:pPr>
            <w:r>
              <w:t>≥</w:t>
            </w:r>
            <w:r>
              <w:rPr>
                <w:rFonts w:hint="eastAsia"/>
              </w:rPr>
              <w:t>90%</w:t>
            </w:r>
          </w:p>
        </w:tc>
        <w:tc>
          <w:tcPr>
            <w:tcW w:w="1694"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成本指标</w:t>
            </w:r>
          </w:p>
        </w:tc>
        <w:tc>
          <w:tcPr>
            <w:tcW w:w="1327" w:type="dxa"/>
            <w:vAlign w:val="center"/>
          </w:tcPr>
          <w:p>
            <w:pPr>
              <w:pStyle w:val="9"/>
            </w:pPr>
            <w:r>
              <w:t>项目预算控制数</w:t>
            </w:r>
          </w:p>
        </w:tc>
        <w:tc>
          <w:tcPr>
            <w:tcW w:w="2054" w:type="dxa"/>
            <w:vAlign w:val="center"/>
          </w:tcPr>
          <w:p>
            <w:pPr>
              <w:pStyle w:val="9"/>
            </w:pPr>
            <w:r>
              <w:t>项目预算控制数</w:t>
            </w:r>
          </w:p>
        </w:tc>
        <w:tc>
          <w:tcPr>
            <w:tcW w:w="1560" w:type="dxa"/>
            <w:vAlign w:val="center"/>
          </w:tcPr>
          <w:p>
            <w:pPr>
              <w:pStyle w:val="9"/>
              <w:rPr>
                <w:rFonts w:hint="eastAsia"/>
              </w:rPr>
            </w:pPr>
            <w:r>
              <w:t>≥</w:t>
            </w:r>
            <w:r>
              <w:rPr>
                <w:rFonts w:hint="eastAsia"/>
              </w:rPr>
              <w:t>95%</w:t>
            </w:r>
          </w:p>
        </w:tc>
        <w:tc>
          <w:tcPr>
            <w:tcW w:w="1694"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0"/>
            </w:pPr>
            <w:r>
              <w:t>效益指标</w:t>
            </w:r>
          </w:p>
        </w:tc>
        <w:tc>
          <w:tcPr>
            <w:tcW w:w="1327" w:type="dxa"/>
            <w:vAlign w:val="center"/>
          </w:tcPr>
          <w:p>
            <w:pPr>
              <w:pStyle w:val="9"/>
            </w:pPr>
            <w:r>
              <w:t>社会效益指标</w:t>
            </w:r>
          </w:p>
        </w:tc>
        <w:tc>
          <w:tcPr>
            <w:tcW w:w="1327" w:type="dxa"/>
            <w:vAlign w:val="center"/>
          </w:tcPr>
          <w:p>
            <w:pPr>
              <w:pStyle w:val="9"/>
            </w:pPr>
            <w:r>
              <w:rPr>
                <w:rFonts w:hint="eastAsia"/>
              </w:rPr>
              <w:t>社会影响力</w:t>
            </w:r>
          </w:p>
        </w:tc>
        <w:tc>
          <w:tcPr>
            <w:tcW w:w="2054" w:type="dxa"/>
            <w:vAlign w:val="center"/>
          </w:tcPr>
          <w:p>
            <w:pPr>
              <w:pStyle w:val="9"/>
            </w:pPr>
            <w:r>
              <w:rPr>
                <w:rFonts w:hint="eastAsia"/>
              </w:rPr>
              <w:t>社会影响力</w:t>
            </w:r>
          </w:p>
        </w:tc>
        <w:tc>
          <w:tcPr>
            <w:tcW w:w="1560" w:type="dxa"/>
            <w:vAlign w:val="center"/>
          </w:tcPr>
          <w:p>
            <w:pPr>
              <w:pStyle w:val="9"/>
              <w:rPr>
                <w:rFonts w:hint="eastAsia"/>
              </w:rPr>
            </w:pPr>
            <w:r>
              <w:t>≥</w:t>
            </w:r>
            <w:r>
              <w:rPr>
                <w:rFonts w:hint="eastAsia" w:ascii="Arial" w:hAnsi="Arial" w:cs="Arial"/>
              </w:rPr>
              <w:t>70</w:t>
            </w:r>
          </w:p>
        </w:tc>
        <w:tc>
          <w:tcPr>
            <w:tcW w:w="1694"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0"/>
            </w:pPr>
          </w:p>
        </w:tc>
        <w:tc>
          <w:tcPr>
            <w:tcW w:w="1327" w:type="dxa"/>
            <w:vAlign w:val="center"/>
          </w:tcPr>
          <w:p>
            <w:pPr>
              <w:pStyle w:val="9"/>
            </w:pPr>
            <w:r>
              <w:t>社会效益指标</w:t>
            </w:r>
          </w:p>
        </w:tc>
        <w:tc>
          <w:tcPr>
            <w:tcW w:w="1327" w:type="dxa"/>
            <w:vAlign w:val="center"/>
          </w:tcPr>
          <w:p>
            <w:pPr>
              <w:pStyle w:val="9"/>
              <w:rPr>
                <w:rFonts w:hint="eastAsia"/>
              </w:rPr>
            </w:pPr>
            <w:r>
              <w:rPr>
                <w:rFonts w:hint="eastAsia"/>
              </w:rPr>
              <w:t>创新工作完成率</w:t>
            </w:r>
          </w:p>
        </w:tc>
        <w:tc>
          <w:tcPr>
            <w:tcW w:w="2054" w:type="dxa"/>
            <w:vAlign w:val="center"/>
          </w:tcPr>
          <w:p>
            <w:pPr>
              <w:pStyle w:val="9"/>
              <w:rPr>
                <w:rFonts w:hint="eastAsia"/>
              </w:rPr>
            </w:pPr>
            <w:r>
              <w:rPr>
                <w:rFonts w:hint="eastAsia"/>
              </w:rPr>
              <w:t>创新工作完成率</w:t>
            </w:r>
          </w:p>
        </w:tc>
        <w:tc>
          <w:tcPr>
            <w:tcW w:w="1560" w:type="dxa"/>
            <w:vAlign w:val="center"/>
          </w:tcPr>
          <w:p>
            <w:pPr>
              <w:pStyle w:val="9"/>
              <w:rPr>
                <w:rFonts w:hint="eastAsia"/>
              </w:rPr>
            </w:pPr>
            <w:r>
              <w:t>≥</w:t>
            </w:r>
            <w:r>
              <w:rPr>
                <w:rFonts w:hint="eastAsia" w:ascii="Arial" w:hAnsi="Arial" w:cs="Arial"/>
              </w:rPr>
              <w:t>70</w:t>
            </w:r>
          </w:p>
        </w:tc>
        <w:tc>
          <w:tcPr>
            <w:tcW w:w="1694"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0"/>
            </w:pPr>
          </w:p>
        </w:tc>
        <w:tc>
          <w:tcPr>
            <w:tcW w:w="1327" w:type="dxa"/>
            <w:vAlign w:val="center"/>
          </w:tcPr>
          <w:p>
            <w:pPr>
              <w:pStyle w:val="9"/>
            </w:pPr>
            <w:r>
              <w:rPr>
                <w:rFonts w:hint="eastAsia"/>
              </w:rPr>
              <w:t>可持续影响指标</w:t>
            </w:r>
          </w:p>
        </w:tc>
        <w:tc>
          <w:tcPr>
            <w:tcW w:w="1327" w:type="dxa"/>
            <w:vAlign w:val="center"/>
          </w:tcPr>
          <w:p>
            <w:pPr>
              <w:pStyle w:val="9"/>
            </w:pPr>
            <w:r>
              <w:rPr>
                <w:rFonts w:hint="eastAsia"/>
              </w:rPr>
              <w:t>宣传效果持续影响程度</w:t>
            </w:r>
          </w:p>
        </w:tc>
        <w:tc>
          <w:tcPr>
            <w:tcW w:w="2054" w:type="dxa"/>
            <w:vAlign w:val="center"/>
          </w:tcPr>
          <w:p>
            <w:pPr>
              <w:pStyle w:val="9"/>
            </w:pPr>
            <w:r>
              <w:t>传播推广怀来，不断提高怀来的影响力</w:t>
            </w:r>
          </w:p>
        </w:tc>
        <w:tc>
          <w:tcPr>
            <w:tcW w:w="1560" w:type="dxa"/>
            <w:vAlign w:val="center"/>
          </w:tcPr>
          <w:p>
            <w:pPr>
              <w:pStyle w:val="9"/>
              <w:rPr>
                <w:rFonts w:hint="eastAsia"/>
              </w:rPr>
            </w:pPr>
            <w:r>
              <w:rPr>
                <w:rFonts w:hint="eastAsia"/>
              </w:rPr>
              <w:t>持续多平台推介怀来产业文化报道</w:t>
            </w:r>
          </w:p>
        </w:tc>
        <w:tc>
          <w:tcPr>
            <w:tcW w:w="1694"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0"/>
            </w:pPr>
            <w:r>
              <w:t>满意度指标</w:t>
            </w:r>
          </w:p>
        </w:tc>
        <w:tc>
          <w:tcPr>
            <w:tcW w:w="1327" w:type="dxa"/>
            <w:vAlign w:val="center"/>
          </w:tcPr>
          <w:p>
            <w:pPr>
              <w:pStyle w:val="9"/>
            </w:pPr>
            <w:r>
              <w:t>服务对象满意度指标</w:t>
            </w:r>
          </w:p>
        </w:tc>
        <w:tc>
          <w:tcPr>
            <w:tcW w:w="1327" w:type="dxa"/>
            <w:vAlign w:val="center"/>
          </w:tcPr>
          <w:p>
            <w:pPr>
              <w:pStyle w:val="9"/>
            </w:pPr>
            <w:r>
              <w:t>满意度</w:t>
            </w:r>
          </w:p>
        </w:tc>
        <w:tc>
          <w:tcPr>
            <w:tcW w:w="2054" w:type="dxa"/>
            <w:vAlign w:val="center"/>
          </w:tcPr>
          <w:p>
            <w:pPr>
              <w:pStyle w:val="9"/>
            </w:pPr>
            <w:r>
              <w:t>读者好评率达到的程度</w:t>
            </w:r>
          </w:p>
        </w:tc>
        <w:tc>
          <w:tcPr>
            <w:tcW w:w="1560" w:type="dxa"/>
            <w:vAlign w:val="center"/>
          </w:tcPr>
          <w:p>
            <w:pPr>
              <w:pStyle w:val="9"/>
            </w:pPr>
            <w:r>
              <w:t>≥85%</w:t>
            </w:r>
          </w:p>
        </w:tc>
        <w:tc>
          <w:tcPr>
            <w:tcW w:w="1694" w:type="dxa"/>
            <w:vAlign w:val="center"/>
          </w:tcPr>
          <w:p>
            <w:pPr>
              <w:pStyle w:val="9"/>
            </w:pPr>
            <w:r>
              <w:t>根据问卷调查</w:t>
            </w:r>
          </w:p>
        </w:tc>
      </w:tr>
    </w:tbl>
    <w:p>
      <w:pPr>
        <w:ind w:firstLine="560"/>
        <w:outlineLvl w:val="3"/>
        <w:rPr>
          <w:sz w:val="28"/>
          <w:szCs w:val="28"/>
        </w:rPr>
      </w:pPr>
    </w:p>
    <w:p>
      <w:pPr>
        <w:ind w:firstLine="560"/>
        <w:outlineLvl w:val="3"/>
        <w:rPr>
          <w:sz w:val="28"/>
          <w:szCs w:val="28"/>
        </w:rPr>
      </w:pPr>
    </w:p>
    <w:p>
      <w:pPr>
        <w:ind w:firstLine="560"/>
        <w:outlineLvl w:val="3"/>
        <w:rPr>
          <w:sz w:val="28"/>
          <w:szCs w:val="28"/>
        </w:rPr>
      </w:pPr>
    </w:p>
    <w:p>
      <w:pPr>
        <w:ind w:firstLine="560"/>
        <w:outlineLvl w:val="3"/>
        <w:rPr>
          <w:sz w:val="28"/>
          <w:szCs w:val="28"/>
        </w:rPr>
      </w:pPr>
    </w:p>
    <w:p>
      <w:pPr>
        <w:ind w:firstLine="560"/>
        <w:outlineLvl w:val="3"/>
        <w:rPr>
          <w:sz w:val="28"/>
          <w:szCs w:val="28"/>
        </w:rPr>
      </w:pPr>
    </w:p>
    <w:p>
      <w:pPr>
        <w:ind w:firstLine="560"/>
        <w:outlineLvl w:val="3"/>
        <w:rPr>
          <w:sz w:val="28"/>
          <w:szCs w:val="28"/>
        </w:rPr>
      </w:pPr>
    </w:p>
    <w:p>
      <w:pPr>
        <w:ind w:firstLine="560"/>
        <w:outlineLvl w:val="3"/>
        <w:rPr>
          <w:sz w:val="28"/>
          <w:szCs w:val="28"/>
        </w:rPr>
      </w:pPr>
    </w:p>
    <w:p>
      <w:pPr>
        <w:ind w:firstLine="560"/>
        <w:outlineLvl w:val="3"/>
      </w:pPr>
      <w:r>
        <w:rPr>
          <w:rFonts w:hint="eastAsia"/>
          <w:sz w:val="28"/>
          <w:szCs w:val="28"/>
        </w:rPr>
        <w:t xml:space="preserve"> </w:t>
      </w:r>
      <w:bookmarkStart w:id="2" w:name="_Toc_4_4_0000000005"/>
      <w:r>
        <w:rPr>
          <w:rFonts w:ascii="方正仿宋_GBK" w:hAnsi="方正仿宋_GBK" w:eastAsia="方正仿宋_GBK" w:cs="方正仿宋_GBK"/>
          <w:color w:val="000000"/>
          <w:sz w:val="28"/>
        </w:rPr>
        <w:t>2.怀财字【2023】7号  融媒体中心建设提升资金绩效目标表</w:t>
      </w:r>
      <w:bookmarkEnd w:id="2"/>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2608" w:type="dxa"/>
            <w:gridSpan w:val="2"/>
            <w:vAlign w:val="center"/>
          </w:tcPr>
          <w:p>
            <w:pPr>
              <w:pStyle w:val="9"/>
            </w:pPr>
            <w:r>
              <w:t>13073023P00005310002K</w:t>
            </w:r>
          </w:p>
        </w:tc>
        <w:tc>
          <w:tcPr>
            <w:tcW w:w="1587" w:type="dxa"/>
            <w:vAlign w:val="center"/>
          </w:tcPr>
          <w:p>
            <w:pPr>
              <w:pStyle w:val="8"/>
            </w:pPr>
            <w:r>
              <w:t>项目名称</w:t>
            </w:r>
          </w:p>
        </w:tc>
        <w:tc>
          <w:tcPr>
            <w:tcW w:w="4422" w:type="dxa"/>
            <w:gridSpan w:val="3"/>
            <w:vAlign w:val="center"/>
          </w:tcPr>
          <w:p>
            <w:pPr>
              <w:pStyle w:val="9"/>
            </w:pPr>
            <w:r>
              <w:t>怀财字【202</w:t>
            </w:r>
            <w:r>
              <w:rPr>
                <w:rFonts w:hint="eastAsia"/>
              </w:rPr>
              <w:t>4</w:t>
            </w:r>
            <w:r>
              <w:t>】7号  融媒体中心建设提升资金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1276" w:type="dxa"/>
            <w:vAlign w:val="center"/>
          </w:tcPr>
          <w:p>
            <w:pPr>
              <w:pStyle w:val="8"/>
            </w:pPr>
            <w:r>
              <w:t>预算数</w:t>
            </w:r>
          </w:p>
        </w:tc>
        <w:tc>
          <w:tcPr>
            <w:tcW w:w="1332" w:type="dxa"/>
            <w:vAlign w:val="center"/>
          </w:tcPr>
          <w:p>
            <w:pPr>
              <w:pStyle w:val="9"/>
            </w:pPr>
            <w:r>
              <w:rPr>
                <w:rFonts w:hint="eastAsia"/>
              </w:rPr>
              <w:t>189</w:t>
            </w:r>
            <w:r>
              <w:t>.00</w:t>
            </w:r>
          </w:p>
        </w:tc>
        <w:tc>
          <w:tcPr>
            <w:tcW w:w="1587" w:type="dxa"/>
            <w:vAlign w:val="center"/>
          </w:tcPr>
          <w:p>
            <w:pPr>
              <w:pStyle w:val="8"/>
            </w:pPr>
            <w:r>
              <w:t>其中：财政    资金</w:t>
            </w:r>
          </w:p>
        </w:tc>
        <w:tc>
          <w:tcPr>
            <w:tcW w:w="1304" w:type="dxa"/>
            <w:vAlign w:val="center"/>
          </w:tcPr>
          <w:p>
            <w:pPr>
              <w:pStyle w:val="9"/>
            </w:pPr>
            <w:r>
              <w:rPr>
                <w:rFonts w:hint="eastAsia"/>
              </w:rPr>
              <w:t>189</w:t>
            </w:r>
            <w:r>
              <w:t>.00</w:t>
            </w:r>
          </w:p>
        </w:tc>
        <w:tc>
          <w:tcPr>
            <w:tcW w:w="1276" w:type="dxa"/>
            <w:vAlign w:val="center"/>
          </w:tcPr>
          <w:p>
            <w:pPr>
              <w:pStyle w:val="8"/>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用于怀来县融媒体中心（怀来县广播电视台）整体改造提升项目购置设备及安装、办公空间提升等。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2608" w:type="dxa"/>
            <w:gridSpan w:val="2"/>
            <w:vAlign w:val="center"/>
          </w:tcPr>
          <w:p>
            <w:pPr>
              <w:pStyle w:val="8"/>
            </w:pPr>
            <w:r>
              <w:t>3月底</w:t>
            </w:r>
          </w:p>
        </w:tc>
        <w:tc>
          <w:tcPr>
            <w:tcW w:w="1587" w:type="dxa"/>
            <w:vAlign w:val="center"/>
          </w:tcPr>
          <w:p>
            <w:pPr>
              <w:pStyle w:val="8"/>
            </w:pPr>
            <w:r>
              <w:t>6月底</w:t>
            </w:r>
          </w:p>
        </w:tc>
        <w:tc>
          <w:tcPr>
            <w:tcW w:w="1304" w:type="dxa"/>
            <w:vAlign w:val="center"/>
          </w:tcPr>
          <w:p>
            <w:pPr>
              <w:pStyle w:val="8"/>
            </w:pPr>
            <w:r>
              <w:t>10月底</w:t>
            </w:r>
          </w:p>
        </w:tc>
        <w:tc>
          <w:tcPr>
            <w:tcW w:w="3118"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0"/>
            </w:pPr>
            <w:r>
              <w:t>25%</w:t>
            </w:r>
          </w:p>
        </w:tc>
        <w:tc>
          <w:tcPr>
            <w:tcW w:w="1587" w:type="dxa"/>
            <w:vAlign w:val="center"/>
          </w:tcPr>
          <w:p>
            <w:pPr>
              <w:pStyle w:val="10"/>
            </w:pPr>
            <w:r>
              <w:t>50%</w:t>
            </w:r>
          </w:p>
        </w:tc>
        <w:tc>
          <w:tcPr>
            <w:tcW w:w="1304" w:type="dxa"/>
            <w:vAlign w:val="center"/>
          </w:tcPr>
          <w:p>
            <w:pPr>
              <w:pStyle w:val="10"/>
            </w:pPr>
            <w:r>
              <w:t>75%</w:t>
            </w:r>
          </w:p>
        </w:tc>
        <w:tc>
          <w:tcPr>
            <w:tcW w:w="3118"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8617" w:type="dxa"/>
            <w:gridSpan w:val="6"/>
            <w:vAlign w:val="center"/>
          </w:tcPr>
          <w:p>
            <w:pPr>
              <w:pStyle w:val="9"/>
            </w:pPr>
            <w:r>
              <w:t>1.目标内容</w:t>
            </w:r>
            <w:r>
              <w:rPr>
                <w:rFonts w:hint="eastAsia"/>
              </w:rPr>
              <w:t>：</w:t>
            </w:r>
            <w:r>
              <w:t>怀来县融媒体中心（怀来县广播电视台）整体改造提升项目购置设备及安装、办公空间提升</w:t>
            </w:r>
            <w:r>
              <w:rPr>
                <w:rFonts w:hint="eastAsia"/>
              </w:rPr>
              <w:t>等。</w:t>
            </w:r>
          </w:p>
        </w:tc>
      </w:tr>
    </w:tbl>
    <w:p>
      <w:pPr>
        <w:spacing w:line="2" w:lineRule="exact"/>
        <w:jc w:val="center"/>
      </w:pPr>
      <w:r>
        <w:rPr>
          <w:rFonts w:ascii="方正书宋_GBK" w:hAnsi="方正书宋_GBK" w:eastAsia="方正书宋_GBK" w:cs="方正书宋_GBK"/>
          <w:color w:val="000000"/>
        </w:rPr>
        <w:t xml:space="preserve"> </w:t>
      </w:r>
    </w:p>
    <w:tbl>
      <w:tblPr>
        <w:tblStyle w:val="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8"/>
            </w:pPr>
            <w:r>
              <w:t>一级指标</w:t>
            </w:r>
          </w:p>
        </w:tc>
        <w:tc>
          <w:tcPr>
            <w:tcW w:w="1327" w:type="dxa"/>
            <w:vAlign w:val="center"/>
          </w:tcPr>
          <w:p>
            <w:pPr>
              <w:pStyle w:val="8"/>
            </w:pPr>
            <w:r>
              <w:t>二级指标</w:t>
            </w:r>
          </w:p>
        </w:tc>
        <w:tc>
          <w:tcPr>
            <w:tcW w:w="1327" w:type="dxa"/>
            <w:vAlign w:val="center"/>
          </w:tcPr>
          <w:p>
            <w:pPr>
              <w:pStyle w:val="8"/>
            </w:pPr>
            <w:r>
              <w:t>三级指标</w:t>
            </w:r>
          </w:p>
        </w:tc>
        <w:tc>
          <w:tcPr>
            <w:tcW w:w="2654" w:type="dxa"/>
            <w:vAlign w:val="center"/>
          </w:tcPr>
          <w:p>
            <w:pPr>
              <w:pStyle w:val="8"/>
            </w:pPr>
            <w:r>
              <w:t>绩效指标描述</w:t>
            </w:r>
          </w:p>
        </w:tc>
        <w:tc>
          <w:tcPr>
            <w:tcW w:w="1327" w:type="dxa"/>
            <w:vAlign w:val="center"/>
          </w:tcPr>
          <w:p>
            <w:pPr>
              <w:pStyle w:val="8"/>
            </w:pPr>
            <w:r>
              <w:t>指标值</w:t>
            </w:r>
          </w:p>
        </w:tc>
        <w:tc>
          <w:tcPr>
            <w:tcW w:w="1327"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0"/>
            </w:pPr>
            <w:r>
              <w:t>产出指标</w:t>
            </w:r>
          </w:p>
        </w:tc>
        <w:tc>
          <w:tcPr>
            <w:tcW w:w="1327" w:type="dxa"/>
            <w:vAlign w:val="center"/>
          </w:tcPr>
          <w:p>
            <w:pPr>
              <w:pStyle w:val="9"/>
            </w:pPr>
            <w:r>
              <w:t>数量指标</w:t>
            </w:r>
          </w:p>
        </w:tc>
        <w:tc>
          <w:tcPr>
            <w:tcW w:w="1327" w:type="dxa"/>
            <w:vAlign w:val="center"/>
          </w:tcPr>
          <w:p>
            <w:pPr>
              <w:pStyle w:val="9"/>
            </w:pPr>
            <w:r>
              <w:rPr>
                <w:rFonts w:hint="eastAsia"/>
              </w:rPr>
              <w:t>完成率</w:t>
            </w:r>
          </w:p>
        </w:tc>
        <w:tc>
          <w:tcPr>
            <w:tcW w:w="2654" w:type="dxa"/>
            <w:vAlign w:val="center"/>
          </w:tcPr>
          <w:p>
            <w:pPr>
              <w:pStyle w:val="9"/>
            </w:pPr>
            <w:r>
              <w:rPr>
                <w:rFonts w:hint="eastAsia"/>
              </w:rPr>
              <w:t>项目完成率</w:t>
            </w:r>
          </w:p>
        </w:tc>
        <w:tc>
          <w:tcPr>
            <w:tcW w:w="1327" w:type="dxa"/>
            <w:vAlign w:val="center"/>
          </w:tcPr>
          <w:p>
            <w:pPr>
              <w:pStyle w:val="9"/>
            </w:pPr>
            <w:r>
              <w:rPr>
                <w:rFonts w:hint="eastAsia"/>
              </w:rPr>
              <w:t>100</w:t>
            </w:r>
            <w:r>
              <w:t>%</w:t>
            </w:r>
            <w:r>
              <w:rPr>
                <w:rFonts w:hint="eastAsia"/>
              </w:rPr>
              <w:t>确保项目全部完成</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质量指标</w:t>
            </w:r>
          </w:p>
        </w:tc>
        <w:tc>
          <w:tcPr>
            <w:tcW w:w="1327" w:type="dxa"/>
            <w:vAlign w:val="center"/>
          </w:tcPr>
          <w:p>
            <w:pPr>
              <w:pStyle w:val="9"/>
            </w:pPr>
            <w:r>
              <w:rPr>
                <w:rFonts w:hint="eastAsia"/>
              </w:rPr>
              <w:t>完成优秀率</w:t>
            </w:r>
          </w:p>
        </w:tc>
        <w:tc>
          <w:tcPr>
            <w:tcW w:w="2654" w:type="dxa"/>
            <w:vAlign w:val="center"/>
          </w:tcPr>
          <w:p>
            <w:pPr>
              <w:pStyle w:val="9"/>
            </w:pPr>
            <w:r>
              <w:rPr>
                <w:rFonts w:hint="eastAsia"/>
              </w:rPr>
              <w:t>融媒体中心各项工作优秀率</w:t>
            </w:r>
          </w:p>
        </w:tc>
        <w:tc>
          <w:tcPr>
            <w:tcW w:w="1327" w:type="dxa"/>
            <w:vAlign w:val="center"/>
          </w:tcPr>
          <w:p>
            <w:pPr>
              <w:pStyle w:val="9"/>
              <w:rPr>
                <w:rFonts w:hint="eastAsia"/>
              </w:rPr>
            </w:pPr>
            <w:r>
              <w:t>≥</w:t>
            </w:r>
            <w:r>
              <w:rPr>
                <w:rFonts w:hint="eastAsia"/>
              </w:rPr>
              <w:t>90</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时效指标</w:t>
            </w:r>
          </w:p>
        </w:tc>
        <w:tc>
          <w:tcPr>
            <w:tcW w:w="1327" w:type="dxa"/>
            <w:vAlign w:val="center"/>
          </w:tcPr>
          <w:p>
            <w:pPr>
              <w:pStyle w:val="9"/>
            </w:pPr>
            <w:r>
              <w:rPr>
                <w:rFonts w:hint="eastAsia"/>
              </w:rPr>
              <w:t>完成及时率</w:t>
            </w:r>
          </w:p>
        </w:tc>
        <w:tc>
          <w:tcPr>
            <w:tcW w:w="2654" w:type="dxa"/>
            <w:vAlign w:val="center"/>
          </w:tcPr>
          <w:p>
            <w:pPr>
              <w:pStyle w:val="9"/>
            </w:pPr>
            <w:r>
              <w:rPr>
                <w:rFonts w:hint="eastAsia"/>
              </w:rPr>
              <w:t>完成及时率</w:t>
            </w:r>
          </w:p>
        </w:tc>
        <w:tc>
          <w:tcPr>
            <w:tcW w:w="1327" w:type="dxa"/>
            <w:vAlign w:val="center"/>
          </w:tcPr>
          <w:p>
            <w:pPr>
              <w:pStyle w:val="9"/>
              <w:rPr>
                <w:rFonts w:hint="eastAsia"/>
              </w:rPr>
            </w:pPr>
            <w:r>
              <w:t>≥</w:t>
            </w:r>
            <w:r>
              <w:rPr>
                <w:rFonts w:hint="eastAsia"/>
              </w:rPr>
              <w:t>90</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成本指标</w:t>
            </w:r>
          </w:p>
        </w:tc>
        <w:tc>
          <w:tcPr>
            <w:tcW w:w="1327" w:type="dxa"/>
            <w:vAlign w:val="center"/>
          </w:tcPr>
          <w:p>
            <w:pPr>
              <w:pStyle w:val="9"/>
            </w:pPr>
            <w:r>
              <w:rPr>
                <w:rFonts w:hint="eastAsia"/>
              </w:rPr>
              <w:t>按</w:t>
            </w:r>
            <w:r>
              <w:t>预算控制</w:t>
            </w:r>
            <w:r>
              <w:rPr>
                <w:rFonts w:hint="eastAsia"/>
              </w:rPr>
              <w:t>资金完成率</w:t>
            </w:r>
          </w:p>
        </w:tc>
        <w:tc>
          <w:tcPr>
            <w:tcW w:w="2654" w:type="dxa"/>
            <w:vAlign w:val="center"/>
          </w:tcPr>
          <w:p>
            <w:pPr>
              <w:pStyle w:val="9"/>
            </w:pPr>
            <w:r>
              <w:rPr>
                <w:rFonts w:hint="eastAsia"/>
              </w:rPr>
              <w:t>按</w:t>
            </w:r>
            <w:r>
              <w:t>预算控制</w:t>
            </w:r>
            <w:r>
              <w:rPr>
                <w:rFonts w:hint="eastAsia"/>
              </w:rPr>
              <w:t>资金完成率</w:t>
            </w:r>
          </w:p>
        </w:tc>
        <w:tc>
          <w:tcPr>
            <w:tcW w:w="1327" w:type="dxa"/>
            <w:vAlign w:val="center"/>
          </w:tcPr>
          <w:p>
            <w:pPr>
              <w:pStyle w:val="9"/>
              <w:rPr>
                <w:rFonts w:hint="eastAsia"/>
              </w:rPr>
            </w:pPr>
            <w:r>
              <w:t>≥</w:t>
            </w:r>
            <w:r>
              <w:rPr>
                <w:rFonts w:hint="eastAsia"/>
              </w:rPr>
              <w:t>95</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0"/>
            </w:pPr>
            <w:r>
              <w:t>效益指标</w:t>
            </w:r>
          </w:p>
        </w:tc>
        <w:tc>
          <w:tcPr>
            <w:tcW w:w="1327" w:type="dxa"/>
            <w:vAlign w:val="center"/>
          </w:tcPr>
          <w:p>
            <w:pPr>
              <w:pStyle w:val="9"/>
            </w:pPr>
            <w:r>
              <w:rPr>
                <w:rFonts w:hint="eastAsia"/>
              </w:rPr>
              <w:t>社会效益指标</w:t>
            </w:r>
          </w:p>
        </w:tc>
        <w:tc>
          <w:tcPr>
            <w:tcW w:w="1327" w:type="dxa"/>
            <w:vAlign w:val="center"/>
          </w:tcPr>
          <w:p>
            <w:pPr>
              <w:pStyle w:val="9"/>
            </w:pPr>
            <w:r>
              <w:rPr>
                <w:rFonts w:hint="eastAsia"/>
              </w:rPr>
              <w:t>保障广播电视台安全播出</w:t>
            </w:r>
          </w:p>
        </w:tc>
        <w:tc>
          <w:tcPr>
            <w:tcW w:w="2654" w:type="dxa"/>
            <w:vAlign w:val="center"/>
          </w:tcPr>
          <w:p>
            <w:pPr>
              <w:pStyle w:val="9"/>
            </w:pPr>
            <w:r>
              <w:rPr>
                <w:rFonts w:hint="eastAsia"/>
              </w:rPr>
              <w:t>保障广播电视台安全播出</w:t>
            </w:r>
          </w:p>
        </w:tc>
        <w:tc>
          <w:tcPr>
            <w:tcW w:w="1327" w:type="dxa"/>
            <w:vAlign w:val="center"/>
          </w:tcPr>
          <w:p>
            <w:pPr>
              <w:pStyle w:val="9"/>
            </w:pPr>
            <w:r>
              <w:rPr>
                <w:rFonts w:hint="eastAsia"/>
              </w:rPr>
              <w:t>保障广播电视台安全播出，无事故。</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0"/>
            </w:pPr>
          </w:p>
        </w:tc>
        <w:tc>
          <w:tcPr>
            <w:tcW w:w="1327" w:type="dxa"/>
            <w:vAlign w:val="center"/>
          </w:tcPr>
          <w:p>
            <w:pPr>
              <w:pStyle w:val="9"/>
            </w:pPr>
            <w:r>
              <w:t>社会效益指标</w:t>
            </w:r>
          </w:p>
        </w:tc>
        <w:tc>
          <w:tcPr>
            <w:tcW w:w="1327" w:type="dxa"/>
            <w:vAlign w:val="center"/>
          </w:tcPr>
          <w:p>
            <w:pPr>
              <w:pStyle w:val="9"/>
            </w:pPr>
            <w:r>
              <w:t>提升的社会影响力</w:t>
            </w:r>
          </w:p>
        </w:tc>
        <w:tc>
          <w:tcPr>
            <w:tcW w:w="2654" w:type="dxa"/>
            <w:vAlign w:val="center"/>
          </w:tcPr>
          <w:p>
            <w:pPr>
              <w:pStyle w:val="9"/>
            </w:pPr>
            <w:r>
              <w:t>提升融媒体的社会影响力</w:t>
            </w:r>
          </w:p>
        </w:tc>
        <w:tc>
          <w:tcPr>
            <w:tcW w:w="1327" w:type="dxa"/>
            <w:vAlign w:val="center"/>
          </w:tcPr>
          <w:p>
            <w:pPr>
              <w:pStyle w:val="9"/>
            </w:pPr>
            <w:r>
              <w:t>进一步提升融媒体节目制作播出在社会的影响力</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0"/>
            </w:pPr>
          </w:p>
        </w:tc>
        <w:tc>
          <w:tcPr>
            <w:tcW w:w="1327" w:type="dxa"/>
            <w:vAlign w:val="center"/>
          </w:tcPr>
          <w:p>
            <w:pPr>
              <w:pStyle w:val="9"/>
            </w:pPr>
            <w:r>
              <w:rPr>
                <w:rFonts w:hint="eastAsia"/>
              </w:rPr>
              <w:t>可持续影响力</w:t>
            </w:r>
          </w:p>
        </w:tc>
        <w:tc>
          <w:tcPr>
            <w:tcW w:w="1327" w:type="dxa"/>
            <w:vAlign w:val="center"/>
          </w:tcPr>
          <w:p>
            <w:pPr>
              <w:pStyle w:val="9"/>
            </w:pPr>
            <w:r>
              <w:rPr>
                <w:rFonts w:hint="eastAsia"/>
              </w:rPr>
              <w:t>可持续性</w:t>
            </w:r>
          </w:p>
        </w:tc>
        <w:tc>
          <w:tcPr>
            <w:tcW w:w="2654" w:type="dxa"/>
            <w:vAlign w:val="center"/>
          </w:tcPr>
          <w:p>
            <w:pPr>
              <w:pStyle w:val="9"/>
              <w:rPr>
                <w:rFonts w:hint="eastAsia"/>
              </w:rPr>
            </w:pPr>
            <w:r>
              <w:rPr>
                <w:rFonts w:hint="eastAsia"/>
              </w:rPr>
              <w:t>融媒体工作的可持续性</w:t>
            </w:r>
          </w:p>
        </w:tc>
        <w:tc>
          <w:tcPr>
            <w:tcW w:w="1327" w:type="dxa"/>
            <w:vAlign w:val="center"/>
          </w:tcPr>
          <w:p>
            <w:pPr>
              <w:pStyle w:val="9"/>
            </w:pPr>
            <w:r>
              <w:rPr>
                <w:rFonts w:hint="eastAsia"/>
              </w:rPr>
              <w:t>保障融媒体工作的可持续性</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0"/>
            </w:pPr>
            <w:r>
              <w:t>满意度指标</w:t>
            </w:r>
          </w:p>
        </w:tc>
        <w:tc>
          <w:tcPr>
            <w:tcW w:w="1327" w:type="dxa"/>
            <w:vAlign w:val="center"/>
          </w:tcPr>
          <w:p>
            <w:pPr>
              <w:pStyle w:val="9"/>
            </w:pPr>
            <w:r>
              <w:t>服务对象满意度指标</w:t>
            </w:r>
          </w:p>
        </w:tc>
        <w:tc>
          <w:tcPr>
            <w:tcW w:w="1327" w:type="dxa"/>
            <w:vAlign w:val="center"/>
          </w:tcPr>
          <w:p>
            <w:pPr>
              <w:pStyle w:val="9"/>
            </w:pPr>
            <w:r>
              <w:t>观众满意度</w:t>
            </w:r>
          </w:p>
        </w:tc>
        <w:tc>
          <w:tcPr>
            <w:tcW w:w="2654" w:type="dxa"/>
            <w:vAlign w:val="center"/>
          </w:tcPr>
          <w:p>
            <w:pPr>
              <w:pStyle w:val="9"/>
            </w:pPr>
            <w:r>
              <w:t>受众满意度</w:t>
            </w:r>
          </w:p>
        </w:tc>
        <w:tc>
          <w:tcPr>
            <w:tcW w:w="1327" w:type="dxa"/>
            <w:vAlign w:val="center"/>
          </w:tcPr>
          <w:p>
            <w:pPr>
              <w:pStyle w:val="9"/>
            </w:pPr>
            <w:r>
              <w:t>≥70%</w:t>
            </w:r>
          </w:p>
        </w:tc>
        <w:tc>
          <w:tcPr>
            <w:tcW w:w="1327" w:type="dxa"/>
            <w:vAlign w:val="center"/>
          </w:tcPr>
          <w:p>
            <w:pPr>
              <w:pStyle w:val="9"/>
            </w:pPr>
            <w:r>
              <w:t>问卷调查</w:t>
            </w:r>
          </w:p>
        </w:tc>
      </w:tr>
    </w:tbl>
    <w:p>
      <w:pPr>
        <w:pStyle w:val="5"/>
        <w:rPr>
          <w:rFonts w:eastAsia="仿宋"/>
          <w:color w:val="000000"/>
          <w:sz w:val="32"/>
          <w:szCs w:val="32"/>
        </w:rPr>
      </w:pPr>
    </w:p>
    <w:p>
      <w:pPr>
        <w:pStyle w:val="5"/>
        <w:rPr>
          <w:rFonts w:eastAsia="仿宋"/>
          <w:color w:val="000000"/>
          <w:sz w:val="32"/>
          <w:szCs w:val="32"/>
        </w:rPr>
      </w:pPr>
    </w:p>
    <w:p>
      <w:pPr>
        <w:pStyle w:val="5"/>
        <w:rPr>
          <w:rFonts w:eastAsia="仿宋"/>
          <w:color w:val="000000"/>
          <w:sz w:val="32"/>
          <w:szCs w:val="32"/>
        </w:rPr>
      </w:pPr>
    </w:p>
    <w:p>
      <w:pPr>
        <w:outlineLvl w:val="3"/>
        <w:rPr>
          <w:rFonts w:hint="eastAsia" w:ascii="方正仿宋_GBK" w:hAnsi="方正仿宋_GBK" w:eastAsia="方正仿宋_GBK" w:cs="方正仿宋_GBK"/>
          <w:color w:val="000000"/>
          <w:sz w:val="28"/>
        </w:rPr>
      </w:pPr>
      <w:bookmarkStart w:id="3" w:name="_Toc_4_4_0000000006"/>
    </w:p>
    <w:p>
      <w:pPr>
        <w:ind w:firstLine="560" w:firstLineChars="200"/>
        <w:outlineLvl w:val="3"/>
      </w:pPr>
      <w:r>
        <w:rPr>
          <w:rFonts w:ascii="方正仿宋_GBK" w:hAnsi="方正仿宋_GBK" w:eastAsia="方正仿宋_GBK" w:cs="方正仿宋_GBK"/>
          <w:color w:val="000000"/>
          <w:sz w:val="28"/>
        </w:rPr>
        <w:t>3.怀财字【2023】7号  新媒体平台运营费用绩效目标表</w:t>
      </w:r>
      <w:bookmarkEnd w:id="3"/>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6"/>
              <w:rPr>
                <w:szCs w:val="21"/>
              </w:rPr>
            </w:pPr>
            <w:r>
              <w:rPr>
                <w:szCs w:val="21"/>
              </w:rP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7"/>
              <w:rPr>
                <w:szCs w:val="21"/>
              </w:rPr>
            </w:pPr>
            <w:r>
              <w:rPr>
                <w:szCs w:val="21"/>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rPr>
                <w:szCs w:val="21"/>
              </w:rPr>
            </w:pPr>
            <w:r>
              <w:rPr>
                <w:szCs w:val="21"/>
              </w:rPr>
              <w:t>项目编码</w:t>
            </w:r>
          </w:p>
        </w:tc>
        <w:tc>
          <w:tcPr>
            <w:tcW w:w="2608" w:type="dxa"/>
            <w:gridSpan w:val="2"/>
            <w:vAlign w:val="center"/>
          </w:tcPr>
          <w:p>
            <w:pPr>
              <w:pStyle w:val="9"/>
              <w:rPr>
                <w:szCs w:val="21"/>
              </w:rPr>
            </w:pPr>
            <w:r>
              <w:rPr>
                <w:szCs w:val="21"/>
              </w:rPr>
              <w:t>13073023P00004910002E</w:t>
            </w:r>
          </w:p>
        </w:tc>
        <w:tc>
          <w:tcPr>
            <w:tcW w:w="1587" w:type="dxa"/>
            <w:vAlign w:val="center"/>
          </w:tcPr>
          <w:p>
            <w:pPr>
              <w:pStyle w:val="8"/>
              <w:rPr>
                <w:szCs w:val="21"/>
              </w:rPr>
            </w:pPr>
            <w:r>
              <w:rPr>
                <w:szCs w:val="21"/>
              </w:rPr>
              <w:t>项目名称</w:t>
            </w:r>
          </w:p>
        </w:tc>
        <w:tc>
          <w:tcPr>
            <w:tcW w:w="4422" w:type="dxa"/>
            <w:gridSpan w:val="3"/>
            <w:vAlign w:val="center"/>
          </w:tcPr>
          <w:p>
            <w:pPr>
              <w:pStyle w:val="9"/>
              <w:rPr>
                <w:szCs w:val="21"/>
              </w:rPr>
            </w:pPr>
            <w:r>
              <w:rPr>
                <w:szCs w:val="21"/>
              </w:rPr>
              <w:t>怀财字【202</w:t>
            </w:r>
            <w:r>
              <w:rPr>
                <w:rFonts w:hint="eastAsia"/>
                <w:szCs w:val="21"/>
              </w:rPr>
              <w:t>4</w:t>
            </w:r>
            <w:r>
              <w:rPr>
                <w:szCs w:val="21"/>
              </w:rPr>
              <w:t>】7号  新媒体平台运营费用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rPr>
                <w:szCs w:val="21"/>
              </w:rPr>
            </w:pPr>
            <w:r>
              <w:rPr>
                <w:szCs w:val="21"/>
              </w:rPr>
              <w:t>预算规模及资金用途</w:t>
            </w:r>
          </w:p>
        </w:tc>
        <w:tc>
          <w:tcPr>
            <w:tcW w:w="1276" w:type="dxa"/>
            <w:vAlign w:val="center"/>
          </w:tcPr>
          <w:p>
            <w:pPr>
              <w:pStyle w:val="8"/>
              <w:rPr>
                <w:szCs w:val="21"/>
              </w:rPr>
            </w:pPr>
            <w:r>
              <w:rPr>
                <w:szCs w:val="21"/>
              </w:rPr>
              <w:t>预算数</w:t>
            </w:r>
          </w:p>
        </w:tc>
        <w:tc>
          <w:tcPr>
            <w:tcW w:w="1332" w:type="dxa"/>
            <w:vAlign w:val="center"/>
          </w:tcPr>
          <w:p>
            <w:pPr>
              <w:pStyle w:val="9"/>
              <w:rPr>
                <w:szCs w:val="21"/>
              </w:rPr>
            </w:pPr>
            <w:r>
              <w:rPr>
                <w:rFonts w:hint="eastAsia"/>
                <w:szCs w:val="21"/>
              </w:rPr>
              <w:t>48</w:t>
            </w:r>
            <w:r>
              <w:rPr>
                <w:szCs w:val="21"/>
              </w:rPr>
              <w:t>.00</w:t>
            </w:r>
          </w:p>
        </w:tc>
        <w:tc>
          <w:tcPr>
            <w:tcW w:w="1587" w:type="dxa"/>
            <w:vAlign w:val="center"/>
          </w:tcPr>
          <w:p>
            <w:pPr>
              <w:pStyle w:val="8"/>
              <w:rPr>
                <w:szCs w:val="21"/>
              </w:rPr>
            </w:pPr>
            <w:r>
              <w:rPr>
                <w:szCs w:val="21"/>
              </w:rPr>
              <w:t>其中：财政    资金</w:t>
            </w:r>
          </w:p>
        </w:tc>
        <w:tc>
          <w:tcPr>
            <w:tcW w:w="1304" w:type="dxa"/>
            <w:vAlign w:val="center"/>
          </w:tcPr>
          <w:p>
            <w:pPr>
              <w:pStyle w:val="9"/>
              <w:rPr>
                <w:szCs w:val="21"/>
              </w:rPr>
            </w:pPr>
            <w:r>
              <w:rPr>
                <w:rFonts w:hint="eastAsia"/>
                <w:szCs w:val="21"/>
              </w:rPr>
              <w:t>48</w:t>
            </w:r>
            <w:r>
              <w:rPr>
                <w:szCs w:val="21"/>
              </w:rPr>
              <w:t>.00</w:t>
            </w:r>
          </w:p>
        </w:tc>
        <w:tc>
          <w:tcPr>
            <w:tcW w:w="1276" w:type="dxa"/>
            <w:vAlign w:val="center"/>
          </w:tcPr>
          <w:p>
            <w:pPr>
              <w:pStyle w:val="8"/>
              <w:rPr>
                <w:szCs w:val="21"/>
              </w:rPr>
            </w:pPr>
            <w:r>
              <w:rPr>
                <w:szCs w:val="21"/>
              </w:rPr>
              <w:t>其他资金</w:t>
            </w:r>
          </w:p>
        </w:tc>
        <w:tc>
          <w:tcPr>
            <w:tcW w:w="1843" w:type="dxa"/>
            <w:vAlign w:val="center"/>
          </w:tcPr>
          <w:p>
            <w:pPr>
              <w:pStyle w:val="9"/>
              <w:rPr>
                <w:szCs w:val="21"/>
              </w:rPr>
            </w:pPr>
            <w:r>
              <w:rPr>
                <w:szCs w:val="21"/>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Cs w:val="21"/>
              </w:rPr>
            </w:pPr>
          </w:p>
        </w:tc>
        <w:tc>
          <w:tcPr>
            <w:tcW w:w="8617" w:type="dxa"/>
            <w:gridSpan w:val="6"/>
            <w:vAlign w:val="center"/>
          </w:tcPr>
          <w:p>
            <w:pPr>
              <w:pStyle w:val="9"/>
              <w:rPr>
                <w:szCs w:val="21"/>
              </w:rPr>
            </w:pPr>
            <w:r>
              <w:rPr>
                <w:szCs w:val="21"/>
              </w:rPr>
              <w:t>怀来县融媒体中心（怀来县广播电视台）微信、微博、智慧怀来APP客户端、怀来县发布APP客户端等平台正常运行维护费用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rPr>
                <w:szCs w:val="21"/>
              </w:rPr>
            </w:pPr>
            <w:r>
              <w:rPr>
                <w:szCs w:val="21"/>
              </w:rPr>
              <w:t>资金支出计划（%）</w:t>
            </w:r>
          </w:p>
        </w:tc>
        <w:tc>
          <w:tcPr>
            <w:tcW w:w="2608" w:type="dxa"/>
            <w:gridSpan w:val="2"/>
            <w:vAlign w:val="center"/>
          </w:tcPr>
          <w:p>
            <w:pPr>
              <w:pStyle w:val="8"/>
              <w:rPr>
                <w:szCs w:val="21"/>
              </w:rPr>
            </w:pPr>
            <w:r>
              <w:rPr>
                <w:szCs w:val="21"/>
              </w:rPr>
              <w:t>3月底</w:t>
            </w:r>
          </w:p>
        </w:tc>
        <w:tc>
          <w:tcPr>
            <w:tcW w:w="1587" w:type="dxa"/>
            <w:vAlign w:val="center"/>
          </w:tcPr>
          <w:p>
            <w:pPr>
              <w:pStyle w:val="8"/>
              <w:rPr>
                <w:szCs w:val="21"/>
              </w:rPr>
            </w:pPr>
            <w:r>
              <w:rPr>
                <w:szCs w:val="21"/>
              </w:rPr>
              <w:t>6月底</w:t>
            </w:r>
          </w:p>
        </w:tc>
        <w:tc>
          <w:tcPr>
            <w:tcW w:w="1304" w:type="dxa"/>
            <w:vAlign w:val="center"/>
          </w:tcPr>
          <w:p>
            <w:pPr>
              <w:pStyle w:val="8"/>
              <w:rPr>
                <w:szCs w:val="21"/>
              </w:rPr>
            </w:pPr>
            <w:r>
              <w:rPr>
                <w:szCs w:val="21"/>
              </w:rPr>
              <w:t>10月底</w:t>
            </w:r>
          </w:p>
        </w:tc>
        <w:tc>
          <w:tcPr>
            <w:tcW w:w="3118" w:type="dxa"/>
            <w:gridSpan w:val="2"/>
            <w:vAlign w:val="center"/>
          </w:tcPr>
          <w:p>
            <w:pPr>
              <w:pStyle w:val="8"/>
              <w:rPr>
                <w:szCs w:val="21"/>
              </w:rPr>
            </w:pPr>
            <w:r>
              <w:rPr>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Cs w:val="21"/>
              </w:rPr>
            </w:pPr>
          </w:p>
        </w:tc>
        <w:tc>
          <w:tcPr>
            <w:tcW w:w="2608" w:type="dxa"/>
            <w:gridSpan w:val="2"/>
            <w:vAlign w:val="center"/>
          </w:tcPr>
          <w:p>
            <w:pPr>
              <w:pStyle w:val="10"/>
              <w:rPr>
                <w:szCs w:val="21"/>
              </w:rPr>
            </w:pPr>
            <w:r>
              <w:rPr>
                <w:szCs w:val="21"/>
              </w:rPr>
              <w:t>25%</w:t>
            </w:r>
          </w:p>
        </w:tc>
        <w:tc>
          <w:tcPr>
            <w:tcW w:w="1587" w:type="dxa"/>
            <w:vAlign w:val="center"/>
          </w:tcPr>
          <w:p>
            <w:pPr>
              <w:pStyle w:val="10"/>
              <w:rPr>
                <w:szCs w:val="21"/>
              </w:rPr>
            </w:pPr>
            <w:r>
              <w:rPr>
                <w:szCs w:val="21"/>
              </w:rPr>
              <w:t>50%</w:t>
            </w:r>
          </w:p>
        </w:tc>
        <w:tc>
          <w:tcPr>
            <w:tcW w:w="1304" w:type="dxa"/>
            <w:vAlign w:val="center"/>
          </w:tcPr>
          <w:p>
            <w:pPr>
              <w:pStyle w:val="10"/>
              <w:rPr>
                <w:szCs w:val="21"/>
              </w:rPr>
            </w:pPr>
            <w:r>
              <w:rPr>
                <w:szCs w:val="21"/>
              </w:rPr>
              <w:t>75%</w:t>
            </w:r>
          </w:p>
        </w:tc>
        <w:tc>
          <w:tcPr>
            <w:tcW w:w="3118" w:type="dxa"/>
            <w:gridSpan w:val="2"/>
            <w:vAlign w:val="center"/>
          </w:tcPr>
          <w:p>
            <w:pPr>
              <w:pStyle w:val="10"/>
              <w:rPr>
                <w:szCs w:val="21"/>
              </w:rPr>
            </w:pPr>
            <w:r>
              <w:rPr>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rPr>
                <w:szCs w:val="21"/>
              </w:rPr>
            </w:pPr>
            <w:r>
              <w:rPr>
                <w:szCs w:val="21"/>
              </w:rPr>
              <w:t>绩效目标</w:t>
            </w:r>
          </w:p>
        </w:tc>
        <w:tc>
          <w:tcPr>
            <w:tcW w:w="8617" w:type="dxa"/>
            <w:gridSpan w:val="6"/>
            <w:vAlign w:val="center"/>
          </w:tcPr>
          <w:p>
            <w:pPr>
              <w:pStyle w:val="9"/>
              <w:rPr>
                <w:szCs w:val="21"/>
              </w:rPr>
            </w:pPr>
            <w:r>
              <w:rPr>
                <w:szCs w:val="21"/>
              </w:rPr>
              <w:t>1.目标内容</w:t>
            </w:r>
            <w:r>
              <w:rPr>
                <w:rFonts w:hint="eastAsia"/>
                <w:szCs w:val="21"/>
              </w:rPr>
              <w:t>：</w:t>
            </w:r>
            <w:r>
              <w:rPr>
                <w:szCs w:val="21"/>
              </w:rPr>
              <w:t>怀来县融媒体中心（怀来县广播电视台）微信、微博、怀来县发布APP客户端等平台正常运行维护费用</w:t>
            </w:r>
          </w:p>
        </w:tc>
      </w:tr>
    </w:tbl>
    <w:p>
      <w:pPr>
        <w:spacing w:line="2" w:lineRule="exact"/>
        <w:jc w:val="center"/>
        <w:rPr>
          <w:szCs w:val="21"/>
        </w:rPr>
      </w:pPr>
      <w:r>
        <w:rPr>
          <w:rFonts w:ascii="方正书宋_GBK" w:hAnsi="方正书宋_GBK" w:eastAsia="方正书宋_GBK" w:cs="方正书宋_GBK"/>
          <w:color w:val="000000"/>
          <w:szCs w:val="21"/>
        </w:rPr>
        <w:t xml:space="preserve"> </w:t>
      </w:r>
    </w:p>
    <w:tbl>
      <w:tblPr>
        <w:tblStyle w:val="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1390"/>
        <w:gridCol w:w="1360"/>
        <w:gridCol w:w="2580"/>
        <w:gridCol w:w="1070"/>
        <w:gridCol w:w="1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055" w:type="dxa"/>
            <w:vAlign w:val="center"/>
          </w:tcPr>
          <w:p>
            <w:pPr>
              <w:pStyle w:val="8"/>
              <w:rPr>
                <w:szCs w:val="21"/>
              </w:rPr>
            </w:pPr>
            <w:r>
              <w:rPr>
                <w:szCs w:val="21"/>
              </w:rPr>
              <w:t>一级指标</w:t>
            </w:r>
          </w:p>
        </w:tc>
        <w:tc>
          <w:tcPr>
            <w:tcW w:w="1390" w:type="dxa"/>
            <w:vAlign w:val="center"/>
          </w:tcPr>
          <w:p>
            <w:pPr>
              <w:pStyle w:val="8"/>
              <w:rPr>
                <w:szCs w:val="21"/>
              </w:rPr>
            </w:pPr>
            <w:r>
              <w:rPr>
                <w:szCs w:val="21"/>
              </w:rPr>
              <w:t>二级指标</w:t>
            </w:r>
          </w:p>
        </w:tc>
        <w:tc>
          <w:tcPr>
            <w:tcW w:w="1360" w:type="dxa"/>
            <w:vAlign w:val="center"/>
          </w:tcPr>
          <w:p>
            <w:pPr>
              <w:pStyle w:val="8"/>
              <w:rPr>
                <w:szCs w:val="21"/>
              </w:rPr>
            </w:pPr>
            <w:r>
              <w:rPr>
                <w:szCs w:val="21"/>
              </w:rPr>
              <w:t>三级指标</w:t>
            </w:r>
          </w:p>
        </w:tc>
        <w:tc>
          <w:tcPr>
            <w:tcW w:w="2580" w:type="dxa"/>
            <w:vAlign w:val="center"/>
          </w:tcPr>
          <w:p>
            <w:pPr>
              <w:pStyle w:val="8"/>
              <w:rPr>
                <w:szCs w:val="21"/>
              </w:rPr>
            </w:pPr>
            <w:r>
              <w:rPr>
                <w:szCs w:val="21"/>
              </w:rPr>
              <w:t>绩效指标描述</w:t>
            </w:r>
          </w:p>
        </w:tc>
        <w:tc>
          <w:tcPr>
            <w:tcW w:w="1070" w:type="dxa"/>
            <w:vAlign w:val="center"/>
          </w:tcPr>
          <w:p>
            <w:pPr>
              <w:pStyle w:val="8"/>
              <w:rPr>
                <w:szCs w:val="21"/>
              </w:rPr>
            </w:pPr>
            <w:r>
              <w:rPr>
                <w:szCs w:val="21"/>
              </w:rPr>
              <w:t>指标值</w:t>
            </w:r>
          </w:p>
        </w:tc>
        <w:tc>
          <w:tcPr>
            <w:tcW w:w="1834" w:type="dxa"/>
            <w:vAlign w:val="center"/>
          </w:tcPr>
          <w:p>
            <w:pPr>
              <w:pStyle w:val="8"/>
              <w:rPr>
                <w:szCs w:val="21"/>
              </w:rPr>
            </w:pPr>
            <w:r>
              <w:rPr>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restart"/>
            <w:vAlign w:val="center"/>
          </w:tcPr>
          <w:p>
            <w:pPr>
              <w:pStyle w:val="10"/>
              <w:rPr>
                <w:szCs w:val="21"/>
              </w:rPr>
            </w:pPr>
            <w:r>
              <w:rPr>
                <w:szCs w:val="21"/>
              </w:rPr>
              <w:t>产出指标</w:t>
            </w:r>
          </w:p>
        </w:tc>
        <w:tc>
          <w:tcPr>
            <w:tcW w:w="1390" w:type="dxa"/>
            <w:vAlign w:val="center"/>
          </w:tcPr>
          <w:p>
            <w:pPr>
              <w:pStyle w:val="9"/>
              <w:rPr>
                <w:szCs w:val="21"/>
              </w:rPr>
            </w:pPr>
            <w:r>
              <w:rPr>
                <w:szCs w:val="21"/>
              </w:rPr>
              <w:t>数量指标</w:t>
            </w:r>
          </w:p>
        </w:tc>
        <w:tc>
          <w:tcPr>
            <w:tcW w:w="1360" w:type="dxa"/>
            <w:vAlign w:val="center"/>
          </w:tcPr>
          <w:p>
            <w:pPr>
              <w:pStyle w:val="9"/>
              <w:rPr>
                <w:szCs w:val="21"/>
              </w:rPr>
            </w:pPr>
            <w:r>
              <w:rPr>
                <w:rFonts w:hint="eastAsia"/>
                <w:szCs w:val="21"/>
              </w:rPr>
              <w:t>完成率</w:t>
            </w:r>
          </w:p>
        </w:tc>
        <w:tc>
          <w:tcPr>
            <w:tcW w:w="2580" w:type="dxa"/>
            <w:vAlign w:val="center"/>
          </w:tcPr>
          <w:p>
            <w:pPr>
              <w:pStyle w:val="9"/>
              <w:rPr>
                <w:szCs w:val="21"/>
              </w:rPr>
            </w:pPr>
            <w:r>
              <w:rPr>
                <w:rFonts w:hint="eastAsia"/>
                <w:szCs w:val="21"/>
              </w:rPr>
              <w:t>项目完成率</w:t>
            </w:r>
          </w:p>
        </w:tc>
        <w:tc>
          <w:tcPr>
            <w:tcW w:w="1070" w:type="dxa"/>
            <w:vAlign w:val="center"/>
          </w:tcPr>
          <w:p>
            <w:pPr>
              <w:pStyle w:val="9"/>
              <w:rPr>
                <w:rFonts w:hint="eastAsia"/>
                <w:szCs w:val="21"/>
              </w:rPr>
            </w:pPr>
            <w:r>
              <w:rPr>
                <w:rFonts w:hint="eastAsia"/>
                <w:szCs w:val="21"/>
              </w:rPr>
              <w:t>100%确保项目全部完成</w:t>
            </w:r>
          </w:p>
        </w:tc>
        <w:tc>
          <w:tcPr>
            <w:tcW w:w="1834" w:type="dxa"/>
            <w:vAlign w:val="center"/>
          </w:tcPr>
          <w:p>
            <w:pPr>
              <w:pStyle w:val="9"/>
              <w:rPr>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Cs w:val="21"/>
              </w:rPr>
            </w:pPr>
          </w:p>
        </w:tc>
        <w:tc>
          <w:tcPr>
            <w:tcW w:w="1390" w:type="dxa"/>
            <w:vAlign w:val="center"/>
          </w:tcPr>
          <w:p>
            <w:pPr>
              <w:pStyle w:val="9"/>
              <w:rPr>
                <w:szCs w:val="21"/>
              </w:rPr>
            </w:pPr>
            <w:r>
              <w:rPr>
                <w:szCs w:val="21"/>
              </w:rPr>
              <w:t>质量指标</w:t>
            </w:r>
          </w:p>
        </w:tc>
        <w:tc>
          <w:tcPr>
            <w:tcW w:w="1360" w:type="dxa"/>
            <w:vAlign w:val="center"/>
          </w:tcPr>
          <w:p>
            <w:pPr>
              <w:pStyle w:val="9"/>
              <w:rPr>
                <w:szCs w:val="21"/>
              </w:rPr>
            </w:pPr>
            <w:r>
              <w:rPr>
                <w:rFonts w:hint="eastAsia"/>
                <w:szCs w:val="21"/>
              </w:rPr>
              <w:t>完成优秀率</w:t>
            </w:r>
          </w:p>
          <w:p>
            <w:pPr>
              <w:pStyle w:val="9"/>
              <w:rPr>
                <w:szCs w:val="21"/>
              </w:rPr>
            </w:pPr>
          </w:p>
        </w:tc>
        <w:tc>
          <w:tcPr>
            <w:tcW w:w="2580" w:type="dxa"/>
            <w:vAlign w:val="center"/>
          </w:tcPr>
          <w:p>
            <w:pPr>
              <w:pStyle w:val="9"/>
              <w:rPr>
                <w:szCs w:val="21"/>
              </w:rPr>
            </w:pPr>
            <w:r>
              <w:rPr>
                <w:rFonts w:hint="eastAsia"/>
                <w:szCs w:val="21"/>
              </w:rPr>
              <w:t>融媒体各项工作优秀率</w:t>
            </w:r>
          </w:p>
          <w:p>
            <w:pPr>
              <w:pStyle w:val="9"/>
              <w:rPr>
                <w:szCs w:val="21"/>
              </w:rPr>
            </w:pPr>
          </w:p>
        </w:tc>
        <w:tc>
          <w:tcPr>
            <w:tcW w:w="1070" w:type="dxa"/>
            <w:vAlign w:val="center"/>
          </w:tcPr>
          <w:p>
            <w:pPr>
              <w:pStyle w:val="9"/>
              <w:rPr>
                <w:szCs w:val="21"/>
              </w:rPr>
            </w:pPr>
            <w:r>
              <w:rPr>
                <w:szCs w:val="21"/>
              </w:rPr>
              <w:t>≥9</w:t>
            </w:r>
            <w:r>
              <w:rPr>
                <w:rFonts w:hint="eastAsia"/>
                <w:szCs w:val="21"/>
              </w:rPr>
              <w:t>0</w:t>
            </w:r>
            <w:r>
              <w:rPr>
                <w:szCs w:val="21"/>
              </w:rPr>
              <w:t>%</w:t>
            </w:r>
          </w:p>
        </w:tc>
        <w:tc>
          <w:tcPr>
            <w:tcW w:w="1834" w:type="dxa"/>
            <w:vAlign w:val="center"/>
          </w:tcPr>
          <w:p>
            <w:pPr>
              <w:pStyle w:val="9"/>
              <w:rPr>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Cs w:val="21"/>
              </w:rPr>
            </w:pPr>
          </w:p>
        </w:tc>
        <w:tc>
          <w:tcPr>
            <w:tcW w:w="1390" w:type="dxa"/>
            <w:vAlign w:val="center"/>
          </w:tcPr>
          <w:p>
            <w:pPr>
              <w:pStyle w:val="9"/>
              <w:rPr>
                <w:szCs w:val="21"/>
              </w:rPr>
            </w:pPr>
            <w:r>
              <w:rPr>
                <w:szCs w:val="21"/>
              </w:rPr>
              <w:t>时效指标</w:t>
            </w:r>
          </w:p>
        </w:tc>
        <w:tc>
          <w:tcPr>
            <w:tcW w:w="1360" w:type="dxa"/>
            <w:vAlign w:val="center"/>
          </w:tcPr>
          <w:p>
            <w:pPr>
              <w:pStyle w:val="9"/>
              <w:rPr>
                <w:szCs w:val="21"/>
              </w:rPr>
            </w:pPr>
            <w:r>
              <w:rPr>
                <w:szCs w:val="21"/>
              </w:rPr>
              <w:t>完成及时率</w:t>
            </w:r>
          </w:p>
        </w:tc>
        <w:tc>
          <w:tcPr>
            <w:tcW w:w="2580" w:type="dxa"/>
            <w:vAlign w:val="center"/>
          </w:tcPr>
          <w:p>
            <w:pPr>
              <w:pStyle w:val="9"/>
              <w:rPr>
                <w:szCs w:val="21"/>
              </w:rPr>
            </w:pPr>
            <w:r>
              <w:rPr>
                <w:szCs w:val="21"/>
              </w:rPr>
              <w:t>完成及时率</w:t>
            </w:r>
          </w:p>
        </w:tc>
        <w:tc>
          <w:tcPr>
            <w:tcW w:w="1070" w:type="dxa"/>
            <w:vAlign w:val="center"/>
          </w:tcPr>
          <w:p>
            <w:pPr>
              <w:pStyle w:val="9"/>
              <w:rPr>
                <w:szCs w:val="21"/>
              </w:rPr>
            </w:pPr>
            <w:r>
              <w:rPr>
                <w:szCs w:val="21"/>
              </w:rPr>
              <w:t>≥9</w:t>
            </w:r>
            <w:r>
              <w:rPr>
                <w:rFonts w:hint="eastAsia"/>
                <w:szCs w:val="21"/>
              </w:rPr>
              <w:t>0</w:t>
            </w:r>
            <w:r>
              <w:rPr>
                <w:szCs w:val="21"/>
              </w:rPr>
              <w:t>%</w:t>
            </w:r>
          </w:p>
        </w:tc>
        <w:tc>
          <w:tcPr>
            <w:tcW w:w="1834" w:type="dxa"/>
            <w:vAlign w:val="center"/>
          </w:tcPr>
          <w:p>
            <w:pPr>
              <w:pStyle w:val="9"/>
              <w:rPr>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Cs w:val="21"/>
              </w:rPr>
            </w:pPr>
          </w:p>
        </w:tc>
        <w:tc>
          <w:tcPr>
            <w:tcW w:w="1390" w:type="dxa"/>
            <w:vAlign w:val="center"/>
          </w:tcPr>
          <w:p>
            <w:pPr>
              <w:pStyle w:val="9"/>
              <w:rPr>
                <w:szCs w:val="21"/>
              </w:rPr>
            </w:pPr>
            <w:r>
              <w:rPr>
                <w:szCs w:val="21"/>
              </w:rPr>
              <w:t>成本指标</w:t>
            </w:r>
          </w:p>
        </w:tc>
        <w:tc>
          <w:tcPr>
            <w:tcW w:w="1360" w:type="dxa"/>
            <w:vAlign w:val="center"/>
          </w:tcPr>
          <w:p>
            <w:pPr>
              <w:pStyle w:val="9"/>
              <w:rPr>
                <w:szCs w:val="21"/>
              </w:rPr>
            </w:pPr>
            <w:r>
              <w:rPr>
                <w:rFonts w:hint="eastAsia"/>
                <w:szCs w:val="21"/>
              </w:rPr>
              <w:t>按预算控完成率</w:t>
            </w:r>
          </w:p>
        </w:tc>
        <w:tc>
          <w:tcPr>
            <w:tcW w:w="2580" w:type="dxa"/>
            <w:vAlign w:val="center"/>
          </w:tcPr>
          <w:p>
            <w:pPr>
              <w:pStyle w:val="9"/>
              <w:rPr>
                <w:szCs w:val="21"/>
              </w:rPr>
            </w:pPr>
            <w:r>
              <w:rPr>
                <w:rFonts w:hint="eastAsia"/>
                <w:szCs w:val="21"/>
              </w:rPr>
              <w:t>按预算控完成率</w:t>
            </w:r>
          </w:p>
        </w:tc>
        <w:tc>
          <w:tcPr>
            <w:tcW w:w="1070" w:type="dxa"/>
            <w:vAlign w:val="center"/>
          </w:tcPr>
          <w:p>
            <w:pPr>
              <w:pStyle w:val="9"/>
              <w:rPr>
                <w:szCs w:val="21"/>
              </w:rPr>
            </w:pPr>
            <w:r>
              <w:rPr>
                <w:szCs w:val="21"/>
              </w:rPr>
              <w:t>≥9</w:t>
            </w:r>
            <w:r>
              <w:rPr>
                <w:rFonts w:hint="eastAsia"/>
                <w:szCs w:val="21"/>
              </w:rPr>
              <w:t>5</w:t>
            </w:r>
            <w:r>
              <w:rPr>
                <w:szCs w:val="21"/>
              </w:rPr>
              <w:t>%</w:t>
            </w:r>
          </w:p>
        </w:tc>
        <w:tc>
          <w:tcPr>
            <w:tcW w:w="1834" w:type="dxa"/>
            <w:vAlign w:val="center"/>
          </w:tcPr>
          <w:p>
            <w:pPr>
              <w:pStyle w:val="9"/>
              <w:rPr>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restart"/>
            <w:vAlign w:val="center"/>
          </w:tcPr>
          <w:p>
            <w:pPr>
              <w:pStyle w:val="10"/>
              <w:rPr>
                <w:szCs w:val="21"/>
              </w:rPr>
            </w:pPr>
            <w:r>
              <w:rPr>
                <w:szCs w:val="21"/>
              </w:rPr>
              <w:t>效益指标</w:t>
            </w:r>
          </w:p>
        </w:tc>
        <w:tc>
          <w:tcPr>
            <w:tcW w:w="1390" w:type="dxa"/>
            <w:vAlign w:val="center"/>
          </w:tcPr>
          <w:p>
            <w:pPr>
              <w:pStyle w:val="9"/>
              <w:rPr>
                <w:szCs w:val="21"/>
              </w:rPr>
            </w:pPr>
            <w:r>
              <w:rPr>
                <w:szCs w:val="21"/>
              </w:rPr>
              <w:t>社会效益指标</w:t>
            </w:r>
          </w:p>
        </w:tc>
        <w:tc>
          <w:tcPr>
            <w:tcW w:w="1360" w:type="dxa"/>
            <w:vAlign w:val="center"/>
          </w:tcPr>
          <w:p>
            <w:pPr>
              <w:pStyle w:val="9"/>
              <w:rPr>
                <w:szCs w:val="21"/>
              </w:rPr>
            </w:pPr>
            <w:r>
              <w:rPr>
                <w:rFonts w:hint="eastAsia"/>
              </w:rPr>
              <w:t>保障广播电视台安全播出</w:t>
            </w:r>
          </w:p>
        </w:tc>
        <w:tc>
          <w:tcPr>
            <w:tcW w:w="2580" w:type="dxa"/>
            <w:vAlign w:val="center"/>
          </w:tcPr>
          <w:p>
            <w:pPr>
              <w:pStyle w:val="9"/>
              <w:rPr>
                <w:szCs w:val="21"/>
              </w:rPr>
            </w:pPr>
            <w:r>
              <w:rPr>
                <w:rFonts w:hint="eastAsia"/>
              </w:rPr>
              <w:t>保障广播电视台安全播出</w:t>
            </w:r>
          </w:p>
        </w:tc>
        <w:tc>
          <w:tcPr>
            <w:tcW w:w="1070" w:type="dxa"/>
            <w:vAlign w:val="center"/>
          </w:tcPr>
          <w:p>
            <w:pPr>
              <w:pStyle w:val="9"/>
              <w:rPr>
                <w:rFonts w:hint="eastAsia"/>
                <w:szCs w:val="21"/>
              </w:rPr>
            </w:pPr>
            <w:r>
              <w:rPr>
                <w:rFonts w:hint="eastAsia"/>
              </w:rPr>
              <w:t>保障广播电视台安全播出</w:t>
            </w:r>
          </w:p>
        </w:tc>
        <w:tc>
          <w:tcPr>
            <w:tcW w:w="1834" w:type="dxa"/>
            <w:vAlign w:val="center"/>
          </w:tcPr>
          <w:p>
            <w:pPr>
              <w:pStyle w:val="9"/>
              <w:rPr>
                <w:rFonts w:hint="eastAsia"/>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pStyle w:val="10"/>
              <w:rPr>
                <w:szCs w:val="21"/>
              </w:rPr>
            </w:pPr>
          </w:p>
        </w:tc>
        <w:tc>
          <w:tcPr>
            <w:tcW w:w="1390" w:type="dxa"/>
            <w:vAlign w:val="center"/>
          </w:tcPr>
          <w:p>
            <w:pPr>
              <w:pStyle w:val="9"/>
              <w:rPr>
                <w:szCs w:val="21"/>
              </w:rPr>
            </w:pPr>
            <w:r>
              <w:rPr>
                <w:szCs w:val="21"/>
              </w:rPr>
              <w:t>社会效益指标</w:t>
            </w:r>
          </w:p>
        </w:tc>
        <w:tc>
          <w:tcPr>
            <w:tcW w:w="1360" w:type="dxa"/>
            <w:vAlign w:val="center"/>
          </w:tcPr>
          <w:p>
            <w:pPr>
              <w:pStyle w:val="9"/>
              <w:rPr>
                <w:szCs w:val="21"/>
              </w:rPr>
            </w:pPr>
            <w:r>
              <w:rPr>
                <w:rFonts w:hint="eastAsia"/>
                <w:szCs w:val="21"/>
              </w:rPr>
              <w:t>提升融媒体的社会影响力</w:t>
            </w:r>
          </w:p>
        </w:tc>
        <w:tc>
          <w:tcPr>
            <w:tcW w:w="2580" w:type="dxa"/>
            <w:vAlign w:val="center"/>
          </w:tcPr>
          <w:p>
            <w:pPr>
              <w:pStyle w:val="9"/>
              <w:rPr>
                <w:szCs w:val="21"/>
              </w:rPr>
            </w:pPr>
            <w:r>
              <w:rPr>
                <w:rFonts w:hint="eastAsia"/>
                <w:szCs w:val="21"/>
              </w:rPr>
              <w:t>提升融媒体的社会影响力</w:t>
            </w:r>
          </w:p>
        </w:tc>
        <w:tc>
          <w:tcPr>
            <w:tcW w:w="1070" w:type="dxa"/>
            <w:vAlign w:val="center"/>
          </w:tcPr>
          <w:p>
            <w:pPr>
              <w:pStyle w:val="9"/>
              <w:rPr>
                <w:szCs w:val="21"/>
              </w:rPr>
            </w:pPr>
            <w:r>
              <w:rPr>
                <w:rFonts w:hint="eastAsia"/>
                <w:szCs w:val="21"/>
              </w:rPr>
              <w:t>进一步提升融媒体的社会影响力</w:t>
            </w:r>
          </w:p>
        </w:tc>
        <w:tc>
          <w:tcPr>
            <w:tcW w:w="1834" w:type="dxa"/>
            <w:vAlign w:val="center"/>
          </w:tcPr>
          <w:p>
            <w:pPr>
              <w:pStyle w:val="9"/>
              <w:rPr>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pStyle w:val="10"/>
              <w:rPr>
                <w:szCs w:val="21"/>
              </w:rPr>
            </w:pPr>
          </w:p>
        </w:tc>
        <w:tc>
          <w:tcPr>
            <w:tcW w:w="1390" w:type="dxa"/>
            <w:vAlign w:val="center"/>
          </w:tcPr>
          <w:p>
            <w:pPr>
              <w:pStyle w:val="9"/>
              <w:rPr>
                <w:szCs w:val="21"/>
              </w:rPr>
            </w:pPr>
            <w:r>
              <w:rPr>
                <w:rFonts w:hint="eastAsia"/>
                <w:szCs w:val="21"/>
              </w:rPr>
              <w:t>可持续影响力指标</w:t>
            </w:r>
          </w:p>
        </w:tc>
        <w:tc>
          <w:tcPr>
            <w:tcW w:w="1360" w:type="dxa"/>
            <w:vAlign w:val="center"/>
          </w:tcPr>
          <w:p>
            <w:pPr>
              <w:pStyle w:val="9"/>
              <w:rPr>
                <w:szCs w:val="21"/>
              </w:rPr>
            </w:pPr>
            <w:r>
              <w:rPr>
                <w:rFonts w:hint="eastAsia"/>
                <w:szCs w:val="21"/>
              </w:rPr>
              <w:t>可持续性</w:t>
            </w:r>
          </w:p>
        </w:tc>
        <w:tc>
          <w:tcPr>
            <w:tcW w:w="2580" w:type="dxa"/>
            <w:vAlign w:val="center"/>
          </w:tcPr>
          <w:p>
            <w:pPr>
              <w:pStyle w:val="9"/>
              <w:rPr>
                <w:szCs w:val="21"/>
              </w:rPr>
            </w:pPr>
            <w:r>
              <w:rPr>
                <w:rFonts w:hint="eastAsia"/>
              </w:rPr>
              <w:t>融媒体工作的可持续性</w:t>
            </w:r>
          </w:p>
        </w:tc>
        <w:tc>
          <w:tcPr>
            <w:tcW w:w="1070" w:type="dxa"/>
            <w:vAlign w:val="center"/>
          </w:tcPr>
          <w:p>
            <w:pPr>
              <w:pStyle w:val="9"/>
              <w:rPr>
                <w:szCs w:val="21"/>
              </w:rPr>
            </w:pPr>
            <w:r>
              <w:rPr>
                <w:rFonts w:hint="eastAsia"/>
                <w:szCs w:val="21"/>
              </w:rPr>
              <w:t>保障</w:t>
            </w:r>
            <w:r>
              <w:rPr>
                <w:rFonts w:hint="eastAsia"/>
              </w:rPr>
              <w:t>融媒体工作的可持续性</w:t>
            </w:r>
          </w:p>
        </w:tc>
        <w:tc>
          <w:tcPr>
            <w:tcW w:w="1834" w:type="dxa"/>
            <w:vAlign w:val="center"/>
          </w:tcPr>
          <w:p>
            <w:pPr>
              <w:pStyle w:val="9"/>
              <w:rPr>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0"/>
              <w:rPr>
                <w:szCs w:val="21"/>
              </w:rPr>
            </w:pPr>
            <w:r>
              <w:rPr>
                <w:szCs w:val="21"/>
              </w:rPr>
              <w:t>满意度指标</w:t>
            </w:r>
          </w:p>
        </w:tc>
        <w:tc>
          <w:tcPr>
            <w:tcW w:w="1390" w:type="dxa"/>
            <w:vAlign w:val="center"/>
          </w:tcPr>
          <w:p>
            <w:pPr>
              <w:pStyle w:val="9"/>
              <w:rPr>
                <w:szCs w:val="21"/>
              </w:rPr>
            </w:pPr>
            <w:r>
              <w:rPr>
                <w:szCs w:val="21"/>
              </w:rPr>
              <w:t>服务对象满意度指标</w:t>
            </w:r>
          </w:p>
        </w:tc>
        <w:tc>
          <w:tcPr>
            <w:tcW w:w="1360" w:type="dxa"/>
            <w:vAlign w:val="center"/>
          </w:tcPr>
          <w:p>
            <w:pPr>
              <w:pStyle w:val="9"/>
              <w:rPr>
                <w:szCs w:val="21"/>
              </w:rPr>
            </w:pPr>
            <w:r>
              <w:rPr>
                <w:szCs w:val="21"/>
              </w:rPr>
              <w:t>满意率</w:t>
            </w:r>
          </w:p>
        </w:tc>
        <w:tc>
          <w:tcPr>
            <w:tcW w:w="2580" w:type="dxa"/>
            <w:vAlign w:val="center"/>
          </w:tcPr>
          <w:p>
            <w:pPr>
              <w:pStyle w:val="9"/>
              <w:rPr>
                <w:szCs w:val="21"/>
              </w:rPr>
            </w:pPr>
            <w:r>
              <w:rPr>
                <w:szCs w:val="21"/>
              </w:rPr>
              <w:t>受众的满意程度</w:t>
            </w:r>
          </w:p>
        </w:tc>
        <w:tc>
          <w:tcPr>
            <w:tcW w:w="1070" w:type="dxa"/>
            <w:vAlign w:val="center"/>
          </w:tcPr>
          <w:p>
            <w:pPr>
              <w:pStyle w:val="9"/>
              <w:rPr>
                <w:szCs w:val="21"/>
              </w:rPr>
            </w:pPr>
            <w:r>
              <w:rPr>
                <w:szCs w:val="21"/>
              </w:rPr>
              <w:t>≥</w:t>
            </w:r>
            <w:r>
              <w:rPr>
                <w:rFonts w:hint="eastAsia"/>
                <w:szCs w:val="21"/>
              </w:rPr>
              <w:t>70</w:t>
            </w:r>
            <w:r>
              <w:rPr>
                <w:szCs w:val="21"/>
              </w:rPr>
              <w:t>%</w:t>
            </w:r>
          </w:p>
        </w:tc>
        <w:tc>
          <w:tcPr>
            <w:tcW w:w="1834" w:type="dxa"/>
            <w:vAlign w:val="center"/>
          </w:tcPr>
          <w:p>
            <w:pPr>
              <w:pStyle w:val="9"/>
              <w:rPr>
                <w:szCs w:val="21"/>
              </w:rPr>
            </w:pPr>
            <w:r>
              <w:rPr>
                <w:szCs w:val="21"/>
              </w:rPr>
              <w:t>问卷调查</w:t>
            </w:r>
          </w:p>
        </w:tc>
      </w:tr>
    </w:tbl>
    <w:p>
      <w:pPr>
        <w:rPr>
          <w:szCs w:val="21"/>
        </w:rPr>
      </w:pPr>
    </w:p>
    <w:p>
      <w:pPr>
        <w:autoSpaceDE w:val="0"/>
        <w:autoSpaceDN w:val="0"/>
        <w:adjustRightInd w:val="0"/>
        <w:ind w:left="198" w:firstLine="420" w:firstLineChars="200"/>
        <w:jc w:val="left"/>
        <w:rPr>
          <w:rFonts w:ascii="黑体" w:hAnsi="黑体" w:eastAsia="黑体" w:cs="Times New Roman"/>
          <w:szCs w:val="21"/>
        </w:rPr>
      </w:pPr>
    </w:p>
    <w:p>
      <w:pPr>
        <w:autoSpaceDE w:val="0"/>
        <w:autoSpaceDN w:val="0"/>
        <w:adjustRightInd w:val="0"/>
        <w:ind w:left="198" w:firstLine="420" w:firstLineChars="200"/>
        <w:jc w:val="left"/>
        <w:rPr>
          <w:rFonts w:ascii="黑体" w:hAnsi="黑体" w:eastAsia="黑体" w:cs="Times New Roman"/>
          <w:szCs w:val="21"/>
        </w:r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pPr>
        <w:spacing w:line="360" w:lineRule="auto"/>
        <w:ind w:firstLine="1280" w:firstLineChars="400"/>
        <w:rPr>
          <w:rFonts w:ascii="仿宋" w:hAnsi="仿宋" w:eastAsia="仿宋"/>
          <w:sz w:val="32"/>
          <w:szCs w:val="32"/>
        </w:rPr>
      </w:pPr>
      <w:r>
        <w:rPr>
          <w:rFonts w:hint="eastAsia" w:ascii="仿宋" w:hAnsi="仿宋" w:eastAsia="仿宋"/>
          <w:sz w:val="32"/>
          <w:szCs w:val="32"/>
        </w:rPr>
        <w:t>2024年，我</w:t>
      </w:r>
      <w:r>
        <w:rPr>
          <w:rFonts w:hint="eastAsia" w:ascii="仿宋" w:hAnsi="仿宋" w:eastAsia="仿宋"/>
          <w:sz w:val="32"/>
          <w:szCs w:val="32"/>
          <w:lang w:eastAsia="zh-CN"/>
        </w:rPr>
        <w:t>单位</w:t>
      </w:r>
      <w:r>
        <w:rPr>
          <w:rFonts w:hint="eastAsia" w:ascii="仿宋" w:hAnsi="仿宋" w:eastAsia="仿宋"/>
          <w:sz w:val="32"/>
          <w:szCs w:val="32"/>
        </w:rPr>
        <w:t>安排政府采购预算 2.30万元。具体内容见下表。</w:t>
      </w:r>
    </w:p>
    <w:p>
      <w:pPr>
        <w:spacing w:line="360" w:lineRule="auto"/>
        <w:rPr>
          <w:rFonts w:hint="eastAsia" w:eastAsia="仿宋" w:cs="Times New Roman"/>
          <w:color w:val="000000"/>
          <w:sz w:val="32"/>
          <w:szCs w:val="32"/>
        </w:rPr>
      </w:pPr>
    </w:p>
    <w:p>
      <w:pPr>
        <w:jc w:val="center"/>
        <w:rPr>
          <w:sz w:val="32"/>
          <w:szCs w:val="32"/>
        </w:rPr>
      </w:pPr>
      <w:r>
        <w:rPr>
          <w:rFonts w:hint="eastAsia" w:ascii="方正小标宋_GBK" w:eastAsia="方正小标宋_GBK"/>
          <w:sz w:val="32"/>
        </w:rPr>
        <w:t>政府</w:t>
      </w:r>
      <w:r>
        <w:rPr>
          <w:rFonts w:hint="eastAsia" w:ascii="方正小标宋_GBK" w:eastAsia="方正小标宋_GBK"/>
          <w:sz w:val="32"/>
          <w:lang w:eastAsia="zh-CN"/>
        </w:rPr>
        <w:t>单位</w:t>
      </w:r>
      <w:r>
        <w:rPr>
          <w:rFonts w:hint="eastAsia" w:ascii="方正小标宋_GBK" w:eastAsia="方正小标宋_GBK"/>
          <w:sz w:val="32"/>
        </w:rPr>
        <w:t>采购预算明细表</w:t>
      </w:r>
    </w:p>
    <w:tbl>
      <w:tblPr>
        <w:tblStyle w:val="3"/>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rPr>
                <w:rFonts w:hint="eastAsia"/>
                <w:lang w:eastAsia="zh-CN"/>
              </w:rPr>
            </w:pPr>
            <w:r>
              <w:t>359</w:t>
            </w:r>
            <w:r>
              <w:rPr>
                <w:rFonts w:hint="eastAsia"/>
                <w:lang w:eastAsia="zh-CN"/>
              </w:rPr>
              <w:t>001</w:t>
            </w:r>
            <w:r>
              <w:t>怀来县融媒体中心（怀来县广播电视台）</w:t>
            </w:r>
          </w:p>
        </w:tc>
        <w:tc>
          <w:tcPr>
            <w:tcW w:w="8676" w:type="dxa"/>
            <w:gridSpan w:val="9"/>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合  计</w:t>
            </w:r>
          </w:p>
        </w:tc>
        <w:tc>
          <w:tcPr>
            <w:tcW w:w="964" w:type="dxa"/>
            <w:vAlign w:val="center"/>
          </w:tcPr>
          <w:p>
            <w:pPr>
              <w:pStyle w:val="14"/>
            </w:pPr>
          </w:p>
        </w:tc>
        <w:tc>
          <w:tcPr>
            <w:tcW w:w="1134" w:type="dxa"/>
            <w:vAlign w:val="center"/>
          </w:tcPr>
          <w:p>
            <w:pPr>
              <w:pStyle w:val="6"/>
            </w:pPr>
          </w:p>
        </w:tc>
        <w:tc>
          <w:tcPr>
            <w:tcW w:w="1134" w:type="dxa"/>
            <w:vAlign w:val="center"/>
          </w:tcPr>
          <w:p>
            <w:pPr>
              <w:pStyle w:val="6"/>
            </w:pPr>
          </w:p>
        </w:tc>
        <w:tc>
          <w:tcPr>
            <w:tcW w:w="709" w:type="dxa"/>
            <w:vAlign w:val="center"/>
          </w:tcPr>
          <w:p>
            <w:pPr>
              <w:pStyle w:val="13"/>
            </w:pPr>
          </w:p>
        </w:tc>
        <w:tc>
          <w:tcPr>
            <w:tcW w:w="850" w:type="dxa"/>
            <w:vAlign w:val="center"/>
          </w:tcPr>
          <w:p>
            <w:pPr>
              <w:pStyle w:val="14"/>
            </w:pPr>
          </w:p>
        </w:tc>
        <w:tc>
          <w:tcPr>
            <w:tcW w:w="850" w:type="dxa"/>
            <w:vAlign w:val="center"/>
          </w:tcPr>
          <w:p>
            <w:pPr>
              <w:pStyle w:val="14"/>
            </w:pPr>
          </w:p>
        </w:tc>
        <w:tc>
          <w:tcPr>
            <w:tcW w:w="964" w:type="dxa"/>
            <w:vAlign w:val="center"/>
          </w:tcPr>
          <w:p>
            <w:pPr>
              <w:pStyle w:val="14"/>
              <w:rPr>
                <w:rFonts w:hint="eastAsia"/>
                <w:lang w:eastAsia="zh-CN"/>
              </w:rPr>
            </w:pPr>
            <w:r>
              <w:rPr>
                <w:rFonts w:hint="eastAsia"/>
                <w:lang w:eastAsia="zh-CN"/>
              </w:rPr>
              <w:t>2.30</w:t>
            </w:r>
          </w:p>
        </w:tc>
        <w:tc>
          <w:tcPr>
            <w:tcW w:w="964" w:type="dxa"/>
            <w:vAlign w:val="center"/>
          </w:tcPr>
          <w:p>
            <w:pPr>
              <w:pStyle w:val="14"/>
              <w:rPr>
                <w:rFonts w:hint="eastAsia"/>
                <w:lang w:eastAsia="zh-CN"/>
              </w:rPr>
            </w:pPr>
            <w:r>
              <w:rPr>
                <w:rFonts w:hint="eastAsia"/>
                <w:lang w:eastAsia="zh-CN"/>
              </w:rPr>
              <w:t xml:space="preserve">                            2.30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rPr>
                <w:rFonts w:hint="eastAsia"/>
                <w:lang w:eastAsia="zh-CN"/>
              </w:rPr>
            </w:pPr>
            <w:r>
              <w:rPr>
                <w:rFonts w:hint="eastAsia"/>
                <w:lang w:eastAsia="zh-CN"/>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怀来县融媒体中心（怀来县广播电视台）小计</w:t>
            </w:r>
          </w:p>
        </w:tc>
        <w:tc>
          <w:tcPr>
            <w:tcW w:w="964" w:type="dxa"/>
            <w:vAlign w:val="center"/>
          </w:tcPr>
          <w:p>
            <w:pPr>
              <w:pStyle w:val="14"/>
            </w:pPr>
          </w:p>
        </w:tc>
        <w:tc>
          <w:tcPr>
            <w:tcW w:w="1134" w:type="dxa"/>
            <w:vAlign w:val="center"/>
          </w:tcPr>
          <w:p>
            <w:pPr>
              <w:pStyle w:val="6"/>
            </w:pPr>
          </w:p>
        </w:tc>
        <w:tc>
          <w:tcPr>
            <w:tcW w:w="1134" w:type="dxa"/>
            <w:vAlign w:val="center"/>
          </w:tcPr>
          <w:p>
            <w:pPr>
              <w:pStyle w:val="6"/>
            </w:pPr>
          </w:p>
        </w:tc>
        <w:tc>
          <w:tcPr>
            <w:tcW w:w="709" w:type="dxa"/>
            <w:vAlign w:val="center"/>
          </w:tcPr>
          <w:p>
            <w:pPr>
              <w:pStyle w:val="13"/>
            </w:pPr>
          </w:p>
        </w:tc>
        <w:tc>
          <w:tcPr>
            <w:tcW w:w="850" w:type="dxa"/>
            <w:vAlign w:val="center"/>
          </w:tcPr>
          <w:p>
            <w:pPr>
              <w:pStyle w:val="14"/>
            </w:pPr>
          </w:p>
        </w:tc>
        <w:tc>
          <w:tcPr>
            <w:tcW w:w="850" w:type="dxa"/>
            <w:vAlign w:val="center"/>
          </w:tcPr>
          <w:p>
            <w:pPr>
              <w:pStyle w:val="14"/>
            </w:pPr>
          </w:p>
        </w:tc>
        <w:tc>
          <w:tcPr>
            <w:tcW w:w="964" w:type="dxa"/>
            <w:vAlign w:val="center"/>
          </w:tcPr>
          <w:p>
            <w:pPr>
              <w:pStyle w:val="14"/>
              <w:rPr>
                <w:rFonts w:hint="eastAsia"/>
                <w:lang w:eastAsia="zh-CN"/>
              </w:rPr>
            </w:pPr>
            <w:r>
              <w:rPr>
                <w:rFonts w:hint="eastAsia"/>
                <w:lang w:eastAsia="zh-CN"/>
              </w:rPr>
              <w:t>2.30</w:t>
            </w:r>
          </w:p>
        </w:tc>
        <w:tc>
          <w:tcPr>
            <w:tcW w:w="964" w:type="dxa"/>
            <w:vAlign w:val="center"/>
          </w:tcPr>
          <w:p>
            <w:pPr>
              <w:pStyle w:val="14"/>
              <w:rPr>
                <w:rFonts w:hint="eastAsia"/>
                <w:lang w:eastAsia="zh-CN"/>
              </w:rPr>
            </w:pPr>
            <w:r>
              <w:rPr>
                <w:rFonts w:hint="eastAsia"/>
                <w:lang w:eastAsia="zh-CN"/>
              </w:rPr>
              <w:t>2.30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rPr>
                <w:rFonts w:hint="eastAsia"/>
                <w:lang w:eastAsia="zh-CN"/>
              </w:rPr>
            </w:pPr>
            <w:r>
              <w:rPr>
                <w:rFonts w:hint="eastAsia"/>
                <w:lang w:eastAsia="zh-CN"/>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9"/>
              <w:rPr>
                <w:rFonts w:hint="eastAsia"/>
              </w:rPr>
            </w:pPr>
            <w:r>
              <w:rPr>
                <w:rFonts w:hint="eastAsia"/>
              </w:rPr>
              <w:t>怀财字【2024】7号 新媒体平台运营费用</w:t>
            </w:r>
          </w:p>
        </w:tc>
        <w:tc>
          <w:tcPr>
            <w:tcW w:w="964" w:type="dxa"/>
            <w:vAlign w:val="center"/>
          </w:tcPr>
          <w:p>
            <w:pPr>
              <w:pStyle w:val="7"/>
              <w:rPr>
                <w:rFonts w:hint="eastAsia"/>
              </w:rPr>
            </w:pPr>
            <w:r>
              <w:rPr>
                <w:rFonts w:hint="eastAsia"/>
              </w:rPr>
              <w:t>48.00</w:t>
            </w:r>
          </w:p>
        </w:tc>
        <w:tc>
          <w:tcPr>
            <w:tcW w:w="1134" w:type="dxa"/>
            <w:vAlign w:val="center"/>
          </w:tcPr>
          <w:p>
            <w:pPr>
              <w:pStyle w:val="9"/>
            </w:pPr>
            <w:r>
              <w:rPr>
                <w:rFonts w:hint="eastAsia"/>
              </w:rPr>
              <w:t>台式金算计</w:t>
            </w:r>
          </w:p>
        </w:tc>
        <w:tc>
          <w:tcPr>
            <w:tcW w:w="1134" w:type="dxa"/>
            <w:vAlign w:val="center"/>
          </w:tcPr>
          <w:p>
            <w:pPr>
              <w:pStyle w:val="9"/>
              <w:rPr>
                <w:rFonts w:hint="eastAsia"/>
              </w:rPr>
            </w:pPr>
            <w:r>
              <w:rPr>
                <w:rFonts w:hint="eastAsia"/>
              </w:rPr>
              <w:t>A02010105</w:t>
            </w:r>
          </w:p>
        </w:tc>
        <w:tc>
          <w:tcPr>
            <w:tcW w:w="709" w:type="dxa"/>
            <w:vAlign w:val="center"/>
          </w:tcPr>
          <w:p>
            <w:pPr>
              <w:pStyle w:val="10"/>
              <w:rPr>
                <w:rFonts w:hint="eastAsia"/>
              </w:rPr>
            </w:pPr>
            <w:r>
              <w:rPr>
                <w:rFonts w:hint="eastAsia"/>
              </w:rPr>
              <w:t>台</w:t>
            </w:r>
          </w:p>
        </w:tc>
        <w:tc>
          <w:tcPr>
            <w:tcW w:w="850" w:type="dxa"/>
            <w:vAlign w:val="center"/>
          </w:tcPr>
          <w:p>
            <w:pPr>
              <w:pStyle w:val="7"/>
              <w:rPr>
                <w:rFonts w:hint="eastAsia"/>
              </w:rPr>
            </w:pPr>
            <w:r>
              <w:rPr>
                <w:rFonts w:hint="eastAsia"/>
              </w:rPr>
              <w:t>3</w:t>
            </w:r>
          </w:p>
        </w:tc>
        <w:tc>
          <w:tcPr>
            <w:tcW w:w="850" w:type="dxa"/>
            <w:vAlign w:val="center"/>
          </w:tcPr>
          <w:p>
            <w:pPr>
              <w:pStyle w:val="7"/>
              <w:rPr>
                <w:rFonts w:hint="eastAsia"/>
              </w:rPr>
            </w:pPr>
            <w:r>
              <w:rPr>
                <w:rFonts w:hint="eastAsia"/>
              </w:rPr>
              <w:t>06.0</w:t>
            </w:r>
          </w:p>
        </w:tc>
        <w:tc>
          <w:tcPr>
            <w:tcW w:w="964" w:type="dxa"/>
            <w:vAlign w:val="center"/>
          </w:tcPr>
          <w:p>
            <w:pPr>
              <w:pStyle w:val="7"/>
              <w:rPr>
                <w:rFonts w:hint="eastAsia"/>
              </w:rPr>
            </w:pPr>
            <w:r>
              <w:rPr>
                <w:rFonts w:hint="eastAsia"/>
              </w:rPr>
              <w:t>1.80</w:t>
            </w:r>
          </w:p>
        </w:tc>
        <w:tc>
          <w:tcPr>
            <w:tcW w:w="964" w:type="dxa"/>
            <w:vAlign w:val="center"/>
          </w:tcPr>
          <w:p>
            <w:pPr>
              <w:pStyle w:val="7"/>
              <w:rPr>
                <w:rFonts w:hint="eastAsia"/>
              </w:rPr>
            </w:pPr>
            <w:r>
              <w:rPr>
                <w:rFonts w:hint="eastAsia"/>
              </w:rPr>
              <w:t>1.80</w:t>
            </w: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rPr>
                <w:rFonts w:hint="eastAsia"/>
              </w:rPr>
            </w:pPr>
            <w:r>
              <w:rPr>
                <w:rFonts w:hint="eastAsia"/>
              </w:rP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9"/>
            </w:pPr>
            <w:r>
              <w:rPr>
                <w:rFonts w:hint="eastAsia"/>
              </w:rPr>
              <w:t>怀财字【2024】7号 新媒体平台运营费用</w:t>
            </w:r>
          </w:p>
        </w:tc>
        <w:tc>
          <w:tcPr>
            <w:tcW w:w="964" w:type="dxa"/>
            <w:vAlign w:val="center"/>
          </w:tcPr>
          <w:p>
            <w:pPr>
              <w:pStyle w:val="7"/>
              <w:rPr>
                <w:rFonts w:hint="eastAsia"/>
              </w:rPr>
            </w:pPr>
            <w:r>
              <w:rPr>
                <w:rFonts w:hint="eastAsia"/>
              </w:rPr>
              <w:t>48.00</w:t>
            </w:r>
          </w:p>
        </w:tc>
        <w:tc>
          <w:tcPr>
            <w:tcW w:w="1134" w:type="dxa"/>
            <w:vAlign w:val="center"/>
          </w:tcPr>
          <w:p>
            <w:pPr>
              <w:pStyle w:val="9"/>
              <w:rPr>
                <w:rFonts w:hint="eastAsia"/>
              </w:rPr>
            </w:pPr>
            <w:r>
              <w:rPr>
                <w:rFonts w:hint="eastAsia"/>
              </w:rPr>
              <w:t>A4彩色打印机</w:t>
            </w:r>
          </w:p>
        </w:tc>
        <w:tc>
          <w:tcPr>
            <w:tcW w:w="1134" w:type="dxa"/>
            <w:vAlign w:val="center"/>
          </w:tcPr>
          <w:p>
            <w:pPr>
              <w:pStyle w:val="9"/>
              <w:rPr>
                <w:rFonts w:hint="eastAsia"/>
              </w:rPr>
            </w:pPr>
            <w:r>
              <w:t>A</w:t>
            </w:r>
            <w:r>
              <w:rPr>
                <w:rFonts w:hint="eastAsia"/>
              </w:rPr>
              <w:t>02021004</w:t>
            </w:r>
          </w:p>
        </w:tc>
        <w:tc>
          <w:tcPr>
            <w:tcW w:w="709" w:type="dxa"/>
            <w:vAlign w:val="center"/>
          </w:tcPr>
          <w:p>
            <w:pPr>
              <w:pStyle w:val="10"/>
            </w:pPr>
            <w:r>
              <w:rPr>
                <w:rFonts w:hint="eastAsia"/>
              </w:rPr>
              <w:t>台</w:t>
            </w:r>
          </w:p>
        </w:tc>
        <w:tc>
          <w:tcPr>
            <w:tcW w:w="850" w:type="dxa"/>
            <w:vAlign w:val="center"/>
          </w:tcPr>
          <w:p>
            <w:pPr>
              <w:pStyle w:val="7"/>
              <w:rPr>
                <w:rFonts w:hint="eastAsia"/>
              </w:rPr>
            </w:pPr>
            <w:r>
              <w:rPr>
                <w:rFonts w:hint="eastAsia"/>
              </w:rPr>
              <w:t>1</w:t>
            </w:r>
          </w:p>
        </w:tc>
        <w:tc>
          <w:tcPr>
            <w:tcW w:w="850" w:type="dxa"/>
            <w:vAlign w:val="center"/>
          </w:tcPr>
          <w:p>
            <w:pPr>
              <w:pStyle w:val="7"/>
              <w:rPr>
                <w:rFonts w:hint="eastAsia"/>
              </w:rPr>
            </w:pPr>
            <w:r>
              <w:rPr>
                <w:rFonts w:hint="eastAsia"/>
              </w:rPr>
              <w:t>0.50</w:t>
            </w:r>
          </w:p>
        </w:tc>
        <w:tc>
          <w:tcPr>
            <w:tcW w:w="964" w:type="dxa"/>
            <w:vAlign w:val="center"/>
          </w:tcPr>
          <w:p>
            <w:pPr>
              <w:pStyle w:val="7"/>
              <w:rPr>
                <w:rFonts w:hint="eastAsia"/>
              </w:rPr>
            </w:pPr>
            <w:r>
              <w:rPr>
                <w:rFonts w:hint="eastAsia"/>
              </w:rPr>
              <w:t>0.50</w:t>
            </w:r>
          </w:p>
        </w:tc>
        <w:tc>
          <w:tcPr>
            <w:tcW w:w="964" w:type="dxa"/>
            <w:vAlign w:val="center"/>
          </w:tcPr>
          <w:p>
            <w:pPr>
              <w:pStyle w:val="7"/>
              <w:rPr>
                <w:rFonts w:hint="eastAsia"/>
              </w:rPr>
            </w:pPr>
            <w:r>
              <w:rPr>
                <w:rFonts w:hint="eastAsia"/>
              </w:rPr>
              <w:t>0.50</w:t>
            </w: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rPr>
                <w:rFonts w:hint="eastAsia"/>
              </w:rPr>
            </w:pPr>
            <w:r>
              <w:rPr>
                <w:rFonts w:hint="eastAsia"/>
              </w:rPr>
              <w:t>0.50</w:t>
            </w:r>
          </w:p>
        </w:tc>
      </w:tr>
    </w:tbl>
    <w:p>
      <w:pPr>
        <w:autoSpaceDE w:val="0"/>
        <w:autoSpaceDN w:val="0"/>
        <w:adjustRightInd w:val="0"/>
        <w:jc w:val="left"/>
        <w:rPr>
          <w:rFonts w:hint="eastAsia" w:ascii="黑体" w:hAnsi="黑体" w:eastAsia="黑体" w:cs="Times New Roman"/>
          <w:sz w:val="32"/>
          <w:szCs w:val="32"/>
        </w:rPr>
      </w:pPr>
    </w:p>
    <w:p>
      <w:pPr>
        <w:autoSpaceDE w:val="0"/>
        <w:autoSpaceDN w:val="0"/>
        <w:adjustRightInd w:val="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eastAsia="仿宋" w:cs="Times New Roman"/>
          <w:color w:val="0D0D0D"/>
          <w:sz w:val="32"/>
          <w:szCs w:val="32"/>
        </w:rPr>
      </w:pPr>
      <w:r>
        <w:rPr>
          <w:rFonts w:hint="eastAsia" w:eastAsia="仿宋" w:cs="Times New Roman"/>
          <w:color w:val="0D0D0D"/>
          <w:sz w:val="32"/>
          <w:szCs w:val="32"/>
        </w:rPr>
        <w:t>我单位</w:t>
      </w:r>
      <w:r>
        <w:rPr>
          <w:rFonts w:eastAsia="仿宋" w:cs="Times New Roman"/>
          <w:color w:val="0D0D0D"/>
          <w:sz w:val="32"/>
          <w:szCs w:val="32"/>
        </w:rPr>
        <w:t>上年末固定资产金额为</w:t>
      </w:r>
      <w:r>
        <w:rPr>
          <w:rFonts w:hint="eastAsia" w:eastAsia="仿宋" w:cs="Times New Roman"/>
          <w:color w:val="0D0D0D"/>
          <w:sz w:val="32"/>
          <w:szCs w:val="32"/>
        </w:rPr>
        <w:t>1232.10</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总额为2.30</w:t>
      </w:r>
      <w:r>
        <w:rPr>
          <w:rFonts w:eastAsia="仿宋" w:cs="Times New Roman"/>
          <w:color w:val="0D0D0D"/>
          <w:sz w:val="32"/>
          <w:szCs w:val="32"/>
        </w:rPr>
        <w:t>万元，主要为计算机、</w:t>
      </w:r>
      <w:r>
        <w:rPr>
          <w:rFonts w:hint="eastAsia" w:eastAsia="仿宋" w:cs="Times New Roman"/>
          <w:color w:val="0D0D0D"/>
          <w:sz w:val="32"/>
          <w:szCs w:val="32"/>
        </w:rPr>
        <w:t>打印机</w:t>
      </w:r>
      <w:r>
        <w:rPr>
          <w:rFonts w:eastAsia="仿宋" w:cs="Times New Roman"/>
          <w:color w:val="0D0D0D"/>
          <w:sz w:val="32"/>
          <w:szCs w:val="32"/>
        </w:rPr>
        <w:t>等，</w:t>
      </w:r>
      <w:r>
        <w:rPr>
          <w:rFonts w:hint="eastAsia" w:eastAsia="仿宋" w:cs="Times New Roman"/>
          <w:color w:val="0D0D0D"/>
          <w:sz w:val="32"/>
          <w:szCs w:val="32"/>
        </w:rPr>
        <w:t>已</w:t>
      </w:r>
      <w:r>
        <w:rPr>
          <w:rFonts w:eastAsia="仿宋" w:cs="Times New Roman"/>
          <w:color w:val="0D0D0D"/>
          <w:sz w:val="32"/>
          <w:szCs w:val="32"/>
        </w:rPr>
        <w:t>列入政府采购预算</w:t>
      </w:r>
      <w:r>
        <w:rPr>
          <w:rFonts w:hint="eastAsia" w:eastAsia="仿宋" w:cs="Times New Roman"/>
          <w:color w:val="0D0D0D"/>
          <w:sz w:val="32"/>
          <w:szCs w:val="32"/>
        </w:rPr>
        <w:t>，详见政府采购预算表。</w:t>
      </w:r>
    </w:p>
    <w:tbl>
      <w:tblPr>
        <w:tblStyle w:val="3"/>
        <w:tblW w:w="13799" w:type="dxa"/>
        <w:tblInd w:w="93" w:type="dxa"/>
        <w:tblLayout w:type="fixed"/>
        <w:tblCellMar>
          <w:top w:w="0" w:type="dxa"/>
          <w:left w:w="108" w:type="dxa"/>
          <w:bottom w:w="0" w:type="dxa"/>
          <w:right w:w="108" w:type="dxa"/>
        </w:tblCellMar>
      </w:tblPr>
      <w:tblGrid>
        <w:gridCol w:w="3650"/>
        <w:gridCol w:w="2204"/>
        <w:gridCol w:w="7945"/>
      </w:tblGrid>
      <w:tr>
        <w:tblPrEx>
          <w:tblCellMar>
            <w:top w:w="0" w:type="dxa"/>
            <w:left w:w="108" w:type="dxa"/>
            <w:bottom w:w="0" w:type="dxa"/>
            <w:right w:w="108" w:type="dxa"/>
          </w:tblCellMar>
        </w:tblPrEx>
        <w:trPr>
          <w:trHeight w:val="550" w:hRule="atLeast"/>
        </w:trPr>
        <w:tc>
          <w:tcPr>
            <w:tcW w:w="13799"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b/>
                <w:sz w:val="32"/>
                <w:szCs w:val="32"/>
              </w:rPr>
              <w:t>怀来县融媒体中心（怀来县广播电视</w:t>
            </w:r>
            <w:r>
              <w:rPr>
                <w:rFonts w:hint="eastAsia" w:ascii="宋体" w:hAnsi="宋体" w:cs="宋体"/>
                <w:b/>
                <w:bCs/>
                <w:kern w:val="0"/>
                <w:sz w:val="32"/>
                <w:szCs w:val="32"/>
              </w:rPr>
              <w:t>台</w:t>
            </w:r>
            <w:r>
              <w:rPr>
                <w:rFonts w:hint="eastAsia"/>
                <w:b/>
                <w:sz w:val="32"/>
                <w:szCs w:val="32"/>
              </w:rPr>
              <w:t>）单位</w:t>
            </w:r>
            <w:r>
              <w:rPr>
                <w:rFonts w:hint="eastAsia" w:ascii="宋体" w:hAnsi="宋体" w:cs="宋体"/>
                <w:b/>
                <w:bCs/>
                <w:kern w:val="0"/>
                <w:sz w:val="32"/>
                <w:szCs w:val="32"/>
              </w:rPr>
              <w:t>固定资产占用情况表</w:t>
            </w:r>
          </w:p>
        </w:tc>
      </w:tr>
      <w:tr>
        <w:tblPrEx>
          <w:tblCellMar>
            <w:top w:w="0" w:type="dxa"/>
            <w:left w:w="108" w:type="dxa"/>
            <w:bottom w:w="0" w:type="dxa"/>
            <w:right w:w="108" w:type="dxa"/>
          </w:tblCellMar>
        </w:tblPrEx>
        <w:trPr>
          <w:trHeight w:val="450" w:hRule="atLeast"/>
        </w:trPr>
        <w:tc>
          <w:tcPr>
            <w:tcW w:w="5854" w:type="dxa"/>
            <w:gridSpan w:val="2"/>
            <w:tcBorders>
              <w:top w:val="nil"/>
              <w:left w:val="nil"/>
              <w:bottom w:val="nil"/>
              <w:right w:val="nil"/>
            </w:tcBorders>
            <w:vAlign w:val="center"/>
          </w:tcPr>
          <w:p>
            <w:pPr>
              <w:widowControl/>
              <w:jc w:val="left"/>
              <w:rPr>
                <w:rFonts w:eastAsia="仿宋" w:cs="Times New Roman"/>
                <w:kern w:val="0"/>
                <w:sz w:val="22"/>
              </w:rPr>
            </w:pPr>
          </w:p>
        </w:tc>
        <w:tc>
          <w:tcPr>
            <w:tcW w:w="7945" w:type="dxa"/>
            <w:tcBorders>
              <w:top w:val="nil"/>
              <w:left w:val="nil"/>
              <w:bottom w:val="nil"/>
              <w:right w:val="nil"/>
            </w:tcBorders>
            <w:vAlign w:val="center"/>
          </w:tcPr>
          <w:p>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2023</w:t>
            </w:r>
            <w:r>
              <w:rPr>
                <w:rFonts w:eastAsia="仿宋" w:cs="Times New Roman"/>
                <w:kern w:val="0"/>
                <w:sz w:val="22"/>
              </w:rPr>
              <w:t>年12月31日</w:t>
            </w:r>
          </w:p>
        </w:tc>
      </w:tr>
      <w:tr>
        <w:tblPrEx>
          <w:tblCellMar>
            <w:top w:w="0" w:type="dxa"/>
            <w:left w:w="108" w:type="dxa"/>
            <w:bottom w:w="0" w:type="dxa"/>
            <w:right w:w="108" w:type="dxa"/>
          </w:tblCellMar>
        </w:tblPrEx>
        <w:trPr>
          <w:trHeight w:val="577" w:hRule="atLeast"/>
        </w:trPr>
        <w:tc>
          <w:tcPr>
            <w:tcW w:w="3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22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79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284" w:hRule="atLeast"/>
        </w:trPr>
        <w:tc>
          <w:tcPr>
            <w:tcW w:w="3650" w:type="dxa"/>
            <w:tcBorders>
              <w:top w:val="nil"/>
              <w:left w:val="single" w:color="auto" w:sz="4" w:space="0"/>
              <w:bottom w:val="single" w:color="auto" w:sz="4" w:space="0"/>
              <w:right w:val="single" w:color="auto" w:sz="4" w:space="0"/>
            </w:tcBorders>
            <w:vAlign w:val="center"/>
          </w:tcPr>
          <w:p>
            <w:pPr>
              <w:widowControl/>
              <w:jc w:val="center"/>
              <w:rPr>
                <w:rFonts w:eastAsia="仿宋" w:cs="Times New Roman"/>
                <w:kern w:val="0"/>
                <w:sz w:val="22"/>
              </w:rPr>
            </w:pPr>
            <w:r>
              <w:rPr>
                <w:rFonts w:eastAsia="仿宋" w:cs="Times New Roman"/>
                <w:kern w:val="0"/>
                <w:sz w:val="22"/>
              </w:rPr>
              <w:t>资产总额</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p>
        </w:tc>
        <w:tc>
          <w:tcPr>
            <w:tcW w:w="7945" w:type="dxa"/>
            <w:tcBorders>
              <w:top w:val="nil"/>
              <w:left w:val="nil"/>
              <w:bottom w:val="single" w:color="auto" w:sz="4" w:space="0"/>
              <w:right w:val="single" w:color="auto" w:sz="4" w:space="0"/>
            </w:tcBorders>
            <w:vAlign w:val="center"/>
          </w:tcPr>
          <w:p>
            <w:pPr>
              <w:widowControl/>
              <w:jc w:val="center"/>
              <w:rPr>
                <w:rFonts w:hint="eastAsia" w:eastAsia="仿宋" w:cs="Times New Roman"/>
                <w:color w:val="FF0000"/>
                <w:kern w:val="0"/>
                <w:sz w:val="22"/>
              </w:rPr>
            </w:pPr>
            <w:r>
              <w:rPr>
                <w:rFonts w:hint="eastAsia" w:eastAsia="仿宋" w:cs="Times New Roman"/>
                <w:kern w:val="0"/>
                <w:sz w:val="22"/>
              </w:rPr>
              <w:t>1232.10</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1、房屋（平方米）</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c>
          <w:tcPr>
            <w:tcW w:w="7945"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其中：办公用房（平方米）</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c>
          <w:tcPr>
            <w:tcW w:w="7945"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2、车辆（台、辆）</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c>
          <w:tcPr>
            <w:tcW w:w="7945"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3、单价在20万元以上设备</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6</w:t>
            </w:r>
          </w:p>
        </w:tc>
        <w:tc>
          <w:tcPr>
            <w:tcW w:w="7945" w:type="dxa"/>
            <w:tcBorders>
              <w:top w:val="nil"/>
              <w:left w:val="nil"/>
              <w:bottom w:val="single" w:color="auto" w:sz="4" w:space="0"/>
              <w:right w:val="single" w:color="auto" w:sz="4" w:space="0"/>
            </w:tcBorders>
            <w:vAlign w:val="center"/>
          </w:tcPr>
          <w:p>
            <w:pPr>
              <w:widowControl/>
              <w:jc w:val="center"/>
              <w:rPr>
                <w:rFonts w:hint="eastAsia" w:eastAsia="仿宋" w:cs="Times New Roman"/>
                <w:kern w:val="0"/>
                <w:sz w:val="22"/>
              </w:rPr>
            </w:pPr>
            <w:r>
              <w:rPr>
                <w:rFonts w:hint="eastAsia" w:eastAsia="仿宋" w:cs="Times New Roman"/>
                <w:kern w:val="0"/>
                <w:sz w:val="22"/>
              </w:rPr>
              <w:t>384.78</w:t>
            </w:r>
          </w:p>
        </w:tc>
      </w:tr>
      <w:tr>
        <w:tblPrEx>
          <w:tblCellMar>
            <w:top w:w="0" w:type="dxa"/>
            <w:left w:w="108" w:type="dxa"/>
            <w:bottom w:w="0" w:type="dxa"/>
            <w:right w:w="108" w:type="dxa"/>
          </w:tblCellMar>
        </w:tblPrEx>
        <w:trPr>
          <w:trHeight w:val="586"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4、其他固定资产</w:t>
            </w:r>
          </w:p>
        </w:tc>
        <w:tc>
          <w:tcPr>
            <w:tcW w:w="2204" w:type="dxa"/>
            <w:tcBorders>
              <w:top w:val="nil"/>
              <w:left w:val="nil"/>
              <w:bottom w:val="single" w:color="auto" w:sz="4" w:space="0"/>
              <w:right w:val="single" w:color="auto" w:sz="4" w:space="0"/>
            </w:tcBorders>
            <w:vAlign w:val="center"/>
          </w:tcPr>
          <w:p>
            <w:pPr>
              <w:widowControl/>
              <w:jc w:val="center"/>
              <w:rPr>
                <w:rFonts w:hint="eastAsia" w:eastAsia="仿宋" w:cs="Times New Roman"/>
                <w:kern w:val="0"/>
                <w:sz w:val="22"/>
              </w:rPr>
            </w:pPr>
            <w:r>
              <w:rPr>
                <w:rFonts w:hint="eastAsia" w:eastAsia="仿宋" w:cs="Times New Roman"/>
                <w:kern w:val="0"/>
                <w:sz w:val="22"/>
              </w:rPr>
              <w:t>860</w:t>
            </w:r>
          </w:p>
        </w:tc>
        <w:tc>
          <w:tcPr>
            <w:tcW w:w="7945" w:type="dxa"/>
            <w:tcBorders>
              <w:top w:val="nil"/>
              <w:left w:val="nil"/>
              <w:bottom w:val="single" w:color="auto" w:sz="4" w:space="0"/>
              <w:right w:val="single" w:color="auto" w:sz="4" w:space="0"/>
            </w:tcBorders>
            <w:vAlign w:val="center"/>
          </w:tcPr>
          <w:p>
            <w:pPr>
              <w:widowControl/>
              <w:jc w:val="center"/>
              <w:rPr>
                <w:rFonts w:hint="eastAsia" w:eastAsia="仿宋" w:cs="Times New Roman"/>
                <w:kern w:val="0"/>
                <w:sz w:val="22"/>
              </w:rPr>
            </w:pPr>
            <w:r>
              <w:rPr>
                <w:rFonts w:hint="eastAsia" w:eastAsia="仿宋" w:cs="Times New Roman"/>
                <w:kern w:val="0"/>
                <w:sz w:val="22"/>
              </w:rPr>
              <w:t>847.32</w:t>
            </w:r>
          </w:p>
        </w:tc>
      </w:tr>
    </w:tbl>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ind w:firstLine="640" w:firstLineChars="200"/>
        <w:rPr>
          <w:rFonts w:eastAsia="仿宋" w:cs="Times New Roman"/>
          <w:sz w:val="32"/>
          <w:szCs w:val="32"/>
        </w:rPr>
      </w:pPr>
      <w:r>
        <w:rPr>
          <w:rFonts w:hint="eastAsia" w:eastAsia="仿宋" w:cs="Times New Roman"/>
          <w:sz w:val="32"/>
          <w:szCs w:val="32"/>
        </w:rPr>
        <w:t>1、一般公共预算拨款收入：指省级财政当年拨付的资金。</w:t>
      </w:r>
    </w:p>
    <w:p>
      <w:pPr>
        <w:ind w:firstLine="640" w:firstLineChars="200"/>
        <w:rPr>
          <w:rFonts w:eastAsia="仿宋" w:cs="Times New Roman"/>
          <w:sz w:val="32"/>
          <w:szCs w:val="32"/>
        </w:rPr>
      </w:pPr>
      <w:r>
        <w:rPr>
          <w:rFonts w:hint="eastAsia" w:eastAsia="仿宋" w:cs="Times New Roman"/>
          <w:sz w:val="32"/>
          <w:szCs w:val="32"/>
        </w:rPr>
        <w:t>2、事业收入：指事业单位开展专业业务活动及辅助活动所取得的收入。</w:t>
      </w:r>
    </w:p>
    <w:p>
      <w:pPr>
        <w:ind w:firstLine="640" w:firstLineChars="200"/>
        <w:rPr>
          <w:rFonts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ind w:firstLine="640" w:firstLineChars="200"/>
        <w:rPr>
          <w:rFonts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ind w:firstLine="640" w:firstLineChars="200"/>
        <w:rPr>
          <w:rFonts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ind w:firstLine="640" w:firstLineChars="200"/>
        <w:rPr>
          <w:rFonts w:eastAsia="仿宋" w:cs="Times New Roman"/>
          <w:sz w:val="32"/>
          <w:szCs w:val="32"/>
        </w:rPr>
      </w:pPr>
      <w:r>
        <w:rPr>
          <w:rFonts w:hint="eastAsia" w:eastAsia="仿宋" w:cs="Times New Roman"/>
          <w:sz w:val="32"/>
          <w:szCs w:val="32"/>
        </w:rPr>
        <w:t>6、上缴上级支出：指下级单位上缴上级的支出。</w:t>
      </w:r>
    </w:p>
    <w:p>
      <w:pPr>
        <w:ind w:firstLine="640" w:firstLineChars="200"/>
        <w:rPr>
          <w:rFonts w:eastAsia="仿宋" w:cs="Times New Roman"/>
          <w:sz w:val="32"/>
          <w:szCs w:val="32"/>
        </w:rPr>
      </w:pPr>
      <w:r>
        <w:rPr>
          <w:rFonts w:hint="eastAsia" w:eastAsia="仿宋" w:cs="Times New Roman"/>
          <w:sz w:val="32"/>
          <w:szCs w:val="32"/>
        </w:rPr>
        <w:t>7、“三公”经费：纳入省级财政预算管理的“三公”经费，是指省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ind w:firstLine="640" w:firstLineChars="200"/>
        <w:rPr>
          <w:rFonts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eastAsia="仿宋" w:cs="Times New Roman"/>
          <w:sz w:val="32"/>
          <w:szCs w:val="32"/>
        </w:rPr>
      </w:pPr>
      <w:r>
        <w:rPr>
          <w:rFonts w:hint="eastAsia" w:eastAsia="仿宋" w:cs="Times New Roman"/>
          <w:sz w:val="32"/>
          <w:szCs w:val="32"/>
        </w:rPr>
        <w:t>我单位无其他需要说明的事项。</w:t>
      </w:r>
    </w:p>
    <w:p>
      <w:pPr>
        <w:rPr>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27F5C"/>
    <w:multiLevelType w:val="singleLevel"/>
    <w:tmpl w:val="E0A27F5C"/>
    <w:lvl w:ilvl="0" w:tentative="0">
      <w:start w:val="1"/>
      <w:numFmt w:val="chineseCounting"/>
      <w:suff w:val="nothing"/>
      <w:lvlText w:val="%1、"/>
      <w:lvlJc w:val="left"/>
      <w:rPr>
        <w:rFonts w:hint="eastAsia"/>
      </w:rPr>
    </w:lvl>
  </w:abstractNum>
  <w:abstractNum w:abstractNumId="1">
    <w:nsid w:val="5C4967F2"/>
    <w:multiLevelType w:val="singleLevel"/>
    <w:tmpl w:val="5C4967F2"/>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mN2U2YzdhYjY0ZTcyNzljNjc4ZWQwNzYyYTdkNTYifQ=="/>
  </w:docVars>
  <w:rsids>
    <w:rsidRoot w:val="00C8137C"/>
    <w:rsid w:val="000445BC"/>
    <w:rsid w:val="000F2301"/>
    <w:rsid w:val="00135A6B"/>
    <w:rsid w:val="001B1837"/>
    <w:rsid w:val="00263EE4"/>
    <w:rsid w:val="00274417"/>
    <w:rsid w:val="00510D61"/>
    <w:rsid w:val="006055E9"/>
    <w:rsid w:val="00672A14"/>
    <w:rsid w:val="00892705"/>
    <w:rsid w:val="008F16D7"/>
    <w:rsid w:val="00933B61"/>
    <w:rsid w:val="0096792D"/>
    <w:rsid w:val="009B3049"/>
    <w:rsid w:val="00A00181"/>
    <w:rsid w:val="00AA3AD6"/>
    <w:rsid w:val="00C70646"/>
    <w:rsid w:val="00C8137C"/>
    <w:rsid w:val="00CA0760"/>
    <w:rsid w:val="00CC5F06"/>
    <w:rsid w:val="00CD2F8C"/>
    <w:rsid w:val="00D67C1C"/>
    <w:rsid w:val="00EC10A0"/>
    <w:rsid w:val="00F00FFF"/>
    <w:rsid w:val="00FE3B1B"/>
    <w:rsid w:val="1F351AFA"/>
    <w:rsid w:val="21DF68E8"/>
    <w:rsid w:val="56D4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14:ligatures w14:val="none"/>
    </w:rPr>
  </w:style>
  <w:style w:type="paragraph" w:customStyle="1" w:styleId="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6">
    <w:name w:val="单元格样式5"/>
    <w:basedOn w:val="1"/>
    <w:qFormat/>
    <w:uiPriority w:val="0"/>
    <w:rPr>
      <w:rFonts w:ascii="方正书宋_GBK" w:hAnsi="方正书宋_GBK" w:eastAsia="方正书宋_GBK" w:cs="方正书宋_GBK"/>
      <w:b/>
    </w:rPr>
  </w:style>
  <w:style w:type="paragraph" w:customStyle="1" w:styleId="7">
    <w:name w:val="单元格样式4"/>
    <w:basedOn w:val="1"/>
    <w:qFormat/>
    <w:uiPriority w:val="0"/>
    <w:pPr>
      <w:jc w:val="right"/>
    </w:pPr>
    <w:rPr>
      <w:rFonts w:ascii="方正书宋_GBK" w:hAnsi="方正书宋_GBK" w:eastAsia="方正书宋_GBK" w:cs="方正书宋_GBK"/>
    </w:rPr>
  </w:style>
  <w:style w:type="paragraph" w:customStyle="1" w:styleId="8">
    <w:name w:val="单元格样式1"/>
    <w:basedOn w:val="1"/>
    <w:qFormat/>
    <w:uiPriority w:val="0"/>
    <w:pPr>
      <w:jc w:val="center"/>
    </w:pPr>
    <w:rPr>
      <w:rFonts w:ascii="方正书宋_GBK" w:hAnsi="方正书宋_GBK" w:eastAsia="方正书宋_GBK" w:cs="方正书宋_GBK"/>
      <w:b/>
    </w:rPr>
  </w:style>
  <w:style w:type="paragraph" w:customStyle="1" w:styleId="9">
    <w:name w:val="单元格样式2"/>
    <w:basedOn w:val="1"/>
    <w:qFormat/>
    <w:uiPriority w:val="0"/>
    <w:rPr>
      <w:rFonts w:ascii="方正书宋_GBK" w:hAnsi="方正书宋_GBK" w:eastAsia="方正书宋_GBK" w:cs="方正书宋_GBK"/>
    </w:rPr>
  </w:style>
  <w:style w:type="paragraph" w:customStyle="1" w:styleId="10">
    <w:name w:val="单元格样式3"/>
    <w:basedOn w:val="1"/>
    <w:qFormat/>
    <w:uiPriority w:val="0"/>
    <w:pPr>
      <w:jc w:val="center"/>
    </w:pPr>
    <w:rPr>
      <w:rFonts w:ascii="方正书宋_GBK" w:hAnsi="方正书宋_GBK" w:eastAsia="方正书宋_GBK" w:cs="方正书宋_GBK"/>
    </w:rPr>
  </w:style>
  <w:style w:type="paragraph" w:customStyle="1" w:styleId="11">
    <w:name w:val="单元格样式23"/>
    <w:basedOn w:val="1"/>
    <w:qFormat/>
    <w:uiPriority w:val="0"/>
    <w:pPr>
      <w:widowControl/>
      <w:jc w:val="right"/>
    </w:pPr>
    <w:rPr>
      <w:rFonts w:ascii="方正书宋_GBK" w:hAnsi="方正书宋_GBK" w:eastAsia="方正书宋_GBK" w:cs="方正书宋_GBK"/>
      <w:kern w:val="0"/>
      <w:sz w:val="24"/>
      <w:szCs w:val="24"/>
      <w:lang w:eastAsia="uk-UA"/>
      <w14:ligatures w14:val="none"/>
    </w:rPr>
  </w:style>
  <w:style w:type="paragraph" w:customStyle="1" w:styleId="12">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14:ligatures w14:val="none"/>
    </w:rPr>
  </w:style>
  <w:style w:type="paragraph" w:customStyle="1" w:styleId="13">
    <w:name w:val="单元格样式6"/>
    <w:basedOn w:val="1"/>
    <w:qFormat/>
    <w:uiPriority w:val="0"/>
    <w:pPr>
      <w:widowControl/>
      <w:jc w:val="center"/>
    </w:pPr>
    <w:rPr>
      <w:rFonts w:ascii="方正书宋_GBK" w:hAnsi="方正书宋_GBK" w:eastAsia="方正书宋_GBK" w:cs="方正书宋_GBK"/>
      <w:b/>
      <w:kern w:val="0"/>
      <w:szCs w:val="24"/>
      <w:lang w:eastAsia="uk-UA"/>
      <w14:ligatures w14:val="none"/>
    </w:rPr>
  </w:style>
  <w:style w:type="paragraph" w:customStyle="1" w:styleId="14">
    <w:name w:val="单元格样式7"/>
    <w:basedOn w:val="1"/>
    <w:qFormat/>
    <w:uiPriority w:val="0"/>
    <w:pPr>
      <w:widowControl/>
      <w:jc w:val="right"/>
    </w:pPr>
    <w:rPr>
      <w:rFonts w:ascii="方正书宋_GBK" w:hAnsi="方正书宋_GBK" w:eastAsia="方正书宋_GBK" w:cs="方正书宋_GBK"/>
      <w:b/>
      <w:kern w:val="0"/>
      <w:szCs w:val="24"/>
      <w:lang w:eastAsia="uk-U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5975</Words>
  <Characters>6480</Characters>
  <Lines>51</Lines>
  <Paragraphs>14</Paragraphs>
  <TotalTime>3923</TotalTime>
  <ScaleCrop>false</ScaleCrop>
  <LinksUpToDate>false</LinksUpToDate>
  <CharactersWithSpaces>6597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2024-04-12T08:04:00Z</dcterms:created>
  <dc:creator>Administrator</dc:creator>
  <cp:lastModifiedBy>陈宇佳小朋友</cp:lastModifiedBy>
  <dcterms:modified xsi:type="dcterms:W3CDTF">2024-08-14T03:07:10Z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F1FBF0D65B2F4693971783A1595E924D_13</vt:lpwstr>
  </property>
</Properties>
</file>