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楷体_GB2312" w:hAnsi="楷体_GB2312" w:eastAsia="楷体_GB2312" w:cs="楷体_GB2312"/>
          <w:color w:val="000000" w:themeColor="text1"/>
          <w:kern w:val="0"/>
          <w:sz w:val="44"/>
          <w:szCs w:val="4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2041" w:right="1531" w:bottom="2041" w:left="1531" w:header="851" w:footer="992" w:gutter="0"/>
          <w:cols w:space="0" w:num="1"/>
          <w:titlePg/>
          <w:docGrid w:type="lines" w:linePitch="312" w:charSpace="0"/>
        </w:sectPr>
      </w:pPr>
      <w:r>
        <mc:AlternateContent>
          <mc:Choice Requires="wps">
            <w:drawing>
              <wp:anchor distT="0" distB="0" distL="114300" distR="114300" simplePos="0" relativeHeight="251661312" behindDoc="0" locked="0" layoutInCell="1" allowOverlap="1">
                <wp:simplePos x="0" y="0"/>
                <wp:positionH relativeFrom="column">
                  <wp:posOffset>321945</wp:posOffset>
                </wp:positionH>
                <wp:positionV relativeFrom="paragraph">
                  <wp:posOffset>5481320</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82590" cy="1066800"/>
                        </a:xfrm>
                        <a:prstGeom prst="rect">
                          <a:avLst/>
                        </a:prstGeom>
                        <a:noFill/>
                        <a:ln w="9525">
                          <a:noFill/>
                          <a:miter lim="800000"/>
                        </a:ln>
                      </wps:spPr>
                      <wps:txbx>
                        <w:txbxContent>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ascii="楷体_GB2312" w:hAnsi="楷体_GB2312" w:eastAsia="楷体_GB2312" w:cs="楷体_GB2312"/>
                                <w:color w:val="000000"/>
                                <w:sz w:val="40"/>
                                <w:szCs w:val="40"/>
                              </w:rPr>
                              <w:t>803005</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：怀来县新保安镇人民政府</w:t>
                            </w:r>
                          </w:p>
                          <w:p>
                            <w:pPr>
                              <w:spacing w:line="600" w:lineRule="auto"/>
                              <w:jc w:val="left"/>
                              <w:rPr>
                                <w:rFonts w:ascii="楷体_GB2312" w:hAnsi="楷体_GB2312" w:eastAsia="楷体_GB2312" w:cs="楷体_GB2312"/>
                                <w:color w:val="000000"/>
                                <w:sz w:val="40"/>
                                <w:szCs w:val="40"/>
                              </w:rPr>
                            </w:pP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5.35pt;margin-top:431.6pt;height:84pt;width:431.7pt;z-index:251661312;mso-width-relative:page;mso-height-relative:page;" filled="f" stroked="f" coordsize="21600,21600" o:gfxdata="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c9Mu1wAAAAsBAAAPAAAAAAAAAAEAIAAAACIAAABkcnMvZG93bnJldi54bWxQSwECFAAUAAAACACH&#10;TuJA8WNTbCUCAAAqBAAADgAAAAAAAAABACAAAAAmAQAAZHJzL2Uyb0RvYy54bWxQSwUGAAAAAAYA&#10;BgBZAQAAvQUAAAAA&#10;">
                <v:fill on="f" focussize="0,0"/>
                <v:stroke on="f" miterlimit="8" joinstyle="miter"/>
                <v:imagedata o:title=""/>
                <o:lock v:ext="edit" aspectratio="f"/>
                <v:textbox>
                  <w:txbxContent>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ascii="楷体_GB2312" w:hAnsi="楷体_GB2312" w:eastAsia="楷体_GB2312" w:cs="楷体_GB2312"/>
                          <w:color w:val="000000"/>
                          <w:sz w:val="40"/>
                          <w:szCs w:val="40"/>
                        </w:rPr>
                        <w:t>803005</w:t>
                      </w:r>
                    </w:p>
                    <w:p>
                      <w:pPr>
                        <w:spacing w:line="600" w:lineRule="auto"/>
                        <w:jc w:val="left"/>
                        <w:rPr>
                          <w:rFonts w:ascii="楷体_GB2312" w:hAnsi="楷体_GB2312" w:eastAsia="楷体_GB2312" w:cs="楷体_GB2312"/>
                          <w:color w:val="000000"/>
                          <w:sz w:val="40"/>
                          <w:szCs w:val="40"/>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：怀来县新保安镇人民政府</w:t>
                      </w:r>
                    </w:p>
                    <w:p>
                      <w:pPr>
                        <w:spacing w:line="600" w:lineRule="auto"/>
                        <w:jc w:val="left"/>
                        <w:rPr>
                          <w:rFonts w:ascii="楷体_GB2312" w:hAnsi="楷体_GB2312" w:eastAsia="楷体_GB2312" w:cs="楷体_GB2312"/>
                          <w:color w:val="000000"/>
                          <w:sz w:val="40"/>
                          <w:szCs w:val="40"/>
                        </w:rPr>
                      </w:pPr>
                    </w:p>
                  </w:txbxContent>
                </v:textbox>
              </v:shape>
            </w:pict>
          </mc:Fallback>
        </mc:AlternateContent>
      </w:r>
      <w:r>
        <w:drawing>
          <wp:anchor distT="0" distB="0" distL="114300" distR="114300" simplePos="0" relativeHeight="251669504" behindDoc="0" locked="0" layoutInCell="1" allowOverlap="1">
            <wp:simplePos x="0" y="0"/>
            <wp:positionH relativeFrom="column">
              <wp:posOffset>2194560</wp:posOffset>
            </wp:positionH>
            <wp:positionV relativeFrom="paragraph">
              <wp:posOffset>2134870</wp:posOffset>
            </wp:positionV>
            <wp:extent cx="2160270" cy="1310640"/>
            <wp:effectExtent l="0" t="0" r="11430" b="3810"/>
            <wp:wrapNone/>
            <wp:docPr id="14" name="https://photo-static-api.fotomore.com/creative/vcg/400/version23/VCG41520173064.jpg" descr="templates\picture_hover\&amp;pky94109459339_sjzg_VCG41520173064&amp;2&amp;src_toppic_droprecent&amp;"/>
            <wp:cNvGraphicFramePr/>
            <a:graphic xmlns:a="http://schemas.openxmlformats.org/drawingml/2006/main">
              <a:graphicData uri="http://schemas.openxmlformats.org/drawingml/2006/picture">
                <pic:pic xmlns:pic="http://schemas.openxmlformats.org/drawingml/2006/picture">
                  <pic:nvPicPr>
                    <pic:cNvPr id="14" name="https://photo-static-api.fotomore.com/creative/vcg/400/version23/VCG41520173064.jpg" descr="templates\picture_hover\&amp;pky94109459339_sjzg_VCG41520173064&amp;2&amp;src_toppic_droprecent&amp;"/>
                    <pic:cNvPicPr/>
                  </pic:nvPicPr>
                  <pic:blipFill>
                    <a:blip r:embed="rId10"/>
                    <a:stretch>
                      <a:fillRect/>
                    </a:stretch>
                  </pic:blipFill>
                  <pic:spPr>
                    <a:xfrm>
                      <a:off x="0" y="0"/>
                      <a:ext cx="2160270" cy="1310640"/>
                    </a:xfrm>
                    <a:prstGeom prst="rect">
                      <a:avLst/>
                    </a:prstGeom>
                  </pic:spPr>
                </pic:pic>
              </a:graphicData>
            </a:graphic>
          </wp:anchor>
        </w:drawing>
      </w:r>
      <w:r>
        <w:drawing>
          <wp:anchor distT="0" distB="0" distL="114300" distR="114300" simplePos="0" relativeHeight="251667456" behindDoc="0" locked="0" layoutInCell="1" allowOverlap="1">
            <wp:simplePos x="0" y="0"/>
            <wp:positionH relativeFrom="column">
              <wp:posOffset>4421505</wp:posOffset>
            </wp:positionH>
            <wp:positionV relativeFrom="paragraph">
              <wp:posOffset>2134870</wp:posOffset>
            </wp:positionV>
            <wp:extent cx="2162810" cy="1310640"/>
            <wp:effectExtent l="0" t="0" r="8890" b="3810"/>
            <wp:wrapNone/>
            <wp:docPr id="8" name="https://photo-static-api.fotomore.com/creative/vcg/400/new/VCG41N1489769134.jpg?uid=386&amp;timestamp=1686554386&amp;sign=5f45ccbb5851510551cea00294a903df" descr="templates\picture_hover\&amp;pky17209834312_sjzg_VCG41N1489769134&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ttps://photo-static-api.fotomore.com/creative/vcg/400/new/VCG41N1489769134.jpg?uid=386&amp;timestamp=1686554386&amp;sign=5f45ccbb5851510551cea00294a903df" descr="templates\picture_hover\&amp;pky17209834312_sjzg_VCG41N1489769134&amp;2&amp;src_toppic_droprecent&amp;"/>
                    <pic:cNvPicPr>
                      <a:picLocks noChangeAspect="1"/>
                    </pic:cNvPicPr>
                  </pic:nvPicPr>
                  <pic:blipFill>
                    <a:blip r:embed="rId11"/>
                    <a:stretch>
                      <a:fillRect/>
                    </a:stretch>
                  </pic:blipFill>
                  <pic:spPr>
                    <a:xfrm>
                      <a:off x="0" y="0"/>
                      <a:ext cx="2162810" cy="1310640"/>
                    </a:xfrm>
                    <a:prstGeom prst="rect">
                      <a:avLst/>
                    </a:prstGeom>
                  </pic:spPr>
                </pic:pic>
              </a:graphicData>
            </a:graphic>
          </wp:anchor>
        </w:drawing>
      </w:r>
      <w:r>
        <mc:AlternateContent>
          <mc:Choice Requires="wpg">
            <w:drawing>
              <wp:anchor distT="0" distB="0" distL="114300" distR="114300" simplePos="0" relativeHeight="251665408" behindDoc="0" locked="0" layoutInCell="1" allowOverlap="1">
                <wp:simplePos x="0" y="0"/>
                <wp:positionH relativeFrom="column">
                  <wp:posOffset>-2453005</wp:posOffset>
                </wp:positionH>
                <wp:positionV relativeFrom="paragraph">
                  <wp:posOffset>2132330</wp:posOffset>
                </wp:positionV>
                <wp:extent cx="9053195" cy="1447165"/>
                <wp:effectExtent l="0" t="0" r="14605" b="635"/>
                <wp:wrapNone/>
                <wp:docPr id="2" name="组合 2"/>
                <wp:cNvGraphicFramePr/>
                <a:graphic xmlns:a="http://schemas.openxmlformats.org/drawingml/2006/main">
                  <a:graphicData uri="http://schemas.microsoft.com/office/word/2010/wordprocessingGroup">
                    <wpg:wgp>
                      <wpg:cNvGrpSpPr/>
                      <wpg:grpSpPr>
                        <a:xfrm>
                          <a:off x="0" y="0"/>
                          <a:ext cx="9053195" cy="1447017"/>
                          <a:chOff x="-3504" y="4387"/>
                          <a:chExt cx="19200" cy="2716"/>
                        </a:xfrm>
                      </wpg:grpSpPr>
                      <wps:wsp>
                        <wps:cNvPr id="3075" name="矩形 19"/>
                        <wps:cNvSpPr/>
                        <wps:spPr>
                          <a:xfrm>
                            <a:off x="-381" y="4387"/>
                            <a:ext cx="1834" cy="2457"/>
                          </a:xfrm>
                          <a:prstGeom prst="rect">
                            <a:avLst/>
                          </a:prstGeom>
                          <a:solidFill>
                            <a:srgbClr val="0176AB"/>
                          </a:solidFill>
                          <a:ln w="9525">
                            <a:noFill/>
                          </a:ln>
                        </wps:spPr>
                        <wps:bodyPr anchor="ctr" anchorCtr="0"/>
                      </wps:wsp>
                      <wps:wsp>
                        <wps:cNvPr id="3079" name="矩形 24"/>
                        <wps:cNvSpPr/>
                        <wps:spPr>
                          <a:xfrm>
                            <a:off x="-3504" y="6953"/>
                            <a:ext cx="11815" cy="150"/>
                          </a:xfrm>
                          <a:custGeom>
                            <a:avLst/>
                            <a:gdLst/>
                            <a:ahLst/>
                            <a:cxnLst>
                              <a:cxn ang="0">
                                <a:pos x="0" y="0"/>
                              </a:cxn>
                              <a:cxn ang="0">
                                <a:pos x="7463453" y="6619"/>
                              </a:cxn>
                              <a:cxn ang="0">
                                <a:pos x="7506490" y="98604"/>
                              </a:cxn>
                              <a:cxn ang="0">
                                <a:pos x="0" y="98604"/>
                              </a:cxn>
                              <a:cxn ang="0">
                                <a:pos x="0" y="0"/>
                              </a:cxn>
                            </a:cxnLst>
                            <a:rect l="0" t="0" r="0" b="0"/>
                            <a:pathLst>
                              <a:path w="7501732" h="94593">
                                <a:moveTo>
                                  <a:pt x="0" y="0"/>
                                </a:moveTo>
                                <a:lnTo>
                                  <a:pt x="7458720" y="6350"/>
                                </a:lnTo>
                                <a:lnTo>
                                  <a:pt x="7501732" y="94593"/>
                                </a:lnTo>
                                <a:lnTo>
                                  <a:pt x="0" y="94593"/>
                                </a:lnTo>
                                <a:lnTo>
                                  <a:pt x="0" y="0"/>
                                </a:lnTo>
                                <a:close/>
                              </a:path>
                            </a:pathLst>
                          </a:custGeom>
                          <a:solidFill>
                            <a:srgbClr val="E5AA57">
                              <a:alpha val="100000"/>
                            </a:srgbClr>
                          </a:solidFill>
                          <a:ln w="9525">
                            <a:noFill/>
                          </a:ln>
                        </wps:spPr>
                        <wps:bodyPr/>
                      </wps:wsp>
                      <wps:wsp>
                        <wps:cNvPr id="3080" name="矩形 25"/>
                        <wps:cNvSpPr/>
                        <wps:spPr>
                          <a:xfrm>
                            <a:off x="8331" y="6953"/>
                            <a:ext cx="7365" cy="150"/>
                          </a:xfrm>
                          <a:custGeom>
                            <a:avLst/>
                            <a:gdLst/>
                            <a:ahLst/>
                            <a:cxnLst>
                              <a:cxn ang="0">
                                <a:pos x="0" y="0"/>
                              </a:cxn>
                              <a:cxn ang="0">
                                <a:pos x="4679715" y="0"/>
                              </a:cxn>
                              <a:cxn ang="0">
                                <a:pos x="4679715" y="98599"/>
                              </a:cxn>
                              <a:cxn ang="0">
                                <a:pos x="57552" y="98599"/>
                              </a:cxn>
                              <a:cxn ang="0">
                                <a:pos x="0" y="0"/>
                              </a:cxn>
                            </a:cxnLst>
                            <a:rect l="0" t="0" r="0" b="0"/>
                            <a:pathLst>
                              <a:path w="4676187" h="94594">
                                <a:moveTo>
                                  <a:pt x="0" y="0"/>
                                </a:moveTo>
                                <a:lnTo>
                                  <a:pt x="4676187" y="0"/>
                                </a:lnTo>
                                <a:lnTo>
                                  <a:pt x="4676187" y="94594"/>
                                </a:lnTo>
                                <a:lnTo>
                                  <a:pt x="57510" y="94594"/>
                                </a:lnTo>
                                <a:lnTo>
                                  <a:pt x="0" y="0"/>
                                </a:lnTo>
                                <a:close/>
                              </a:path>
                            </a:pathLst>
                          </a:custGeom>
                          <a:solidFill>
                            <a:srgbClr val="0176AB">
                              <a:alpha val="100000"/>
                            </a:srgbClr>
                          </a:solidFill>
                          <a:ln w="9525">
                            <a:noFill/>
                          </a:ln>
                        </wps:spPr>
                        <wps:bodyPr/>
                      </wps:wsp>
                    </wpg:wgp>
                  </a:graphicData>
                </a:graphic>
              </wp:anchor>
            </w:drawing>
          </mc:Choice>
          <mc:Fallback>
            <w:pict>
              <v:group id="_x0000_s1026" o:spid="_x0000_s1026" o:spt="203" style="position:absolute;left:0pt;margin-left:-193.15pt;margin-top:167.9pt;height:113.95pt;width:712.85pt;z-index:251665408;mso-width-relative:page;mso-height-relative:page;" coordorigin="-3504,4387" coordsize="19200,2716" o:gfxdata="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">
                <o:lock v:ext="edit" aspectratio="f"/>
                <v:rect id="矩形 19" o:spid="_x0000_s1026" o:spt="1" style="position:absolute;left:-381;top:4387;height:2457;width:1834;v-text-anchor:middle;" fillcolor="#0176AB" filled="t" stroked="f" coordsize="21600,21600" o:gfxdata="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P3v&#10;wAAAAN0AAAAPAAAAAAAAAAEAIAAAACIAAABkcnMvZG93bnJldi54bWxQSwECFAAUAAAACACHTuJA&#10;My8FnjsAAAA5AAAAEAAAAAAAAAABACAAAAAPAQAAZHJzL3NoYXBleG1sLnhtbFBLBQYAAAAABgAG&#10;AFsBAAC5AwAAAAA=&#10;">
                  <v:fill on="t" focussize="0,0"/>
                  <v:stroke on="f"/>
                  <v:imagedata o:title=""/>
                  <o:lock v:ext="edit" aspectratio="f"/>
                </v:rect>
                <v:shape id="矩形 24" o:spid="_x0000_s1026" o:spt="100" style="position:absolute;left:-3504;top:6953;height:150;width:11815;" fillcolor="#E5AA57" filled="t" stroked="f" coordsize="7501732,94593" o:gfxdata="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8dX6O&#10;wAAAAN0AAAAPAAAAAAAAAAEAIAAAACIAAABkcnMvZG93bnJldi54bWxQSwECFAAUAAAACACHTuJA&#10;My8FnjsAAAA5AAAAEAAAAAAAAAABACAAAAAPAQAAZHJzL3NoYXBleG1sLnhtbFBLBQYAAAAABgAG&#10;AFsBAAC5AwAAAAA=&#10;" path="m0,0l7458720,6350,7501732,94593,0,94593,0,0xe">
                  <v:path o:connectlocs="0,0;7463453,6619;7506490,98604;0,98604;0,0" o:connectangles="0,0,0,0,0"/>
                  <v:fill on="t" focussize="0,0"/>
                  <v:stroke on="f"/>
                  <v:imagedata o:title=""/>
                  <o:lock v:ext="edit" aspectratio="f"/>
                </v:shape>
                <v:shape id="矩形 25" o:spid="_x0000_s1026" o:spt="100" style="position:absolute;left:8331;top:6953;height:150;width:7365;" fillcolor="#0176AB" filled="t" stroked="f" coordsize="4676187,94594" o:gfxdata="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GhB25AAAA3QAA&#10;AA8AAAAAAAAAAQAgAAAAIgAAAGRycy9kb3ducmV2LnhtbFBLAQIUABQAAAAIAIdO4kAzLwWeOwAA&#10;ADkAAAAQAAAAAAAAAAEAIAAAAAgBAABkcnMvc2hhcGV4bWwueG1sUEsFBgAAAAAGAAYAWwEAALID&#10;AAAAAA==&#10;" path="m0,0l4676187,0,4676187,94594,57510,94594,0,0xe">
                  <v:path o:connectlocs="0,0;4679715,0;4679715,98599;57552,98599;0,0" o:connectangles="0,0,0,0,0"/>
                  <v:fill on="t" focussize="0,0"/>
                  <v:stroke on="f"/>
                  <v:imagedata o:title=""/>
                  <o:lock v:ext="edit" aspectratio="f"/>
                </v:shape>
              </v:group>
            </w:pict>
          </mc:Fallback>
        </mc:AlternateContent>
      </w:r>
      <w:r>
        <w:drawing>
          <wp:anchor distT="0" distB="0" distL="114300" distR="114300" simplePos="0" relativeHeight="251668480" behindDoc="0" locked="0" layoutInCell="1" allowOverlap="1">
            <wp:simplePos x="0" y="0"/>
            <wp:positionH relativeFrom="column">
              <wp:posOffset>-44450</wp:posOffset>
            </wp:positionH>
            <wp:positionV relativeFrom="paragraph">
              <wp:posOffset>2134870</wp:posOffset>
            </wp:positionV>
            <wp:extent cx="2159000" cy="1310640"/>
            <wp:effectExtent l="0" t="0" r="12700" b="3810"/>
            <wp:wrapNone/>
            <wp:docPr id="12" name="https://photo-static-api.fotomore.com/creative/vcg/400/new/VCG211393708916.jpg" descr="templates\picture_hover\&amp;pky00203123560_sjzg_VCG211393708916&amp;2&amp;src_toppic_droprecent&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ttps://photo-static-api.fotomore.com/creative/vcg/400/new/VCG211393708916.jpg" descr="templates\picture_hover\&amp;pky00203123560_sjzg_VCG211393708916&amp;2&amp;src_toppic_droprecent&amp;"/>
                    <pic:cNvPicPr>
                      <a:picLocks noChangeAspect="1"/>
                    </pic:cNvPicPr>
                  </pic:nvPicPr>
                  <pic:blipFill>
                    <a:blip r:embed="rId12"/>
                    <a:stretch>
                      <a:fillRect/>
                    </a:stretch>
                  </pic:blipFill>
                  <pic:spPr>
                    <a:xfrm>
                      <a:off x="0" y="0"/>
                      <a:ext cx="2159000" cy="1310640"/>
                    </a:xfrm>
                    <a:prstGeom prst="rect">
                      <a:avLst/>
                    </a:prstGeom>
                  </pic:spPr>
                </pic:pic>
              </a:graphicData>
            </a:graphic>
          </wp:anchor>
        </w:drawing>
      </w:r>
      <w:r>
        <mc:AlternateContent>
          <mc:Choice Requires="wpg">
            <w:drawing>
              <wp:anchor distT="0" distB="0" distL="114300" distR="114300" simplePos="0" relativeHeight="251662336" behindDoc="0" locked="0" layoutInCell="1" allowOverlap="1">
                <wp:simplePos x="0" y="0"/>
                <wp:positionH relativeFrom="column">
                  <wp:posOffset>-280670</wp:posOffset>
                </wp:positionH>
                <wp:positionV relativeFrom="paragraph">
                  <wp:posOffset>-313055</wp:posOffset>
                </wp:positionV>
                <wp:extent cx="5954395" cy="1885315"/>
                <wp:effectExtent l="0" t="0" r="0" b="14605"/>
                <wp:wrapNone/>
                <wp:docPr id="1" name="组合 1"/>
                <wp:cNvGraphicFramePr/>
                <a:graphic xmlns:a="http://schemas.openxmlformats.org/drawingml/2006/main">
                  <a:graphicData uri="http://schemas.microsoft.com/office/word/2010/wordprocessingGroup">
                    <wpg:wgp>
                      <wpg:cNvGrpSpPr/>
                      <wpg:grpSpPr>
                        <a:xfrm>
                          <a:off x="0" y="0"/>
                          <a:ext cx="5954395" cy="1885315"/>
                          <a:chOff x="12098" y="1831"/>
                          <a:chExt cx="9377" cy="2969"/>
                        </a:xfrm>
                      </wpg:grpSpPr>
                      <wps:wsp>
                        <wps:cNvPr id="89" name="文本框 32"/>
                        <wps:cNvSpPr txBox="1"/>
                        <wps:spPr>
                          <a:xfrm>
                            <a:off x="13325" y="1831"/>
                            <a:ext cx="4462" cy="1348"/>
                          </a:xfrm>
                          <a:prstGeom prst="rect">
                            <a:avLst/>
                          </a:prstGeom>
                          <a:noFill/>
                        </wps:spPr>
                        <wps:txbx>
                          <w:txbxContent>
                            <w:p>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wps:txbx>
                        <wps:bodyPr wrap="square" rtlCol="0">
                          <a:noAutofit/>
                        </wps:bodyPr>
                      </wps:wsp>
                      <wpg:grpSp>
                        <wpg:cNvPr id="6" name="组合 6"/>
                        <wpg:cNvGrpSpPr/>
                        <wpg:grpSpPr>
                          <a:xfrm>
                            <a:off x="12098" y="3193"/>
                            <a:ext cx="9377" cy="1607"/>
                            <a:chOff x="6119" y="2843"/>
                            <a:chExt cx="9377" cy="1607"/>
                          </a:xfrm>
                        </wpg:grpSpPr>
                        <wps:wsp>
                          <wps:cNvPr id="91" name="文本框 32"/>
                          <wps:cNvSpPr txBox="1"/>
                          <wps:spPr>
                            <a:xfrm>
                              <a:off x="6119" y="2843"/>
                              <a:ext cx="9377" cy="1421"/>
                            </a:xfrm>
                            <a:prstGeom prst="rect">
                              <a:avLst/>
                            </a:prstGeom>
                            <a:noFill/>
                          </wps:spPr>
                          <wps:txbx>
                            <w:txbxContent>
                              <w:p>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id="_x0000_s1026" o:spid="_x0000_s1026" o:spt="203" style="position:absolute;left:0pt;margin-left:-22.1pt;margin-top:-24.65pt;height:148.45pt;width:468.85pt;z-index:251662336;mso-width-relative:page;mso-height-relative:page;" coordorigin="12098,1831" coordsize="9377,2969" o:gfxdata="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CVBwvF2wAAAAsBAAAPAAAAAAAAAAEAIAAAACIAAABkcnMvZG93bnJldi54bWxQSwECFAAUAAAA&#10;CACHTuJAIE9ecUEDAABECQAADgAAAAAAAAABACAAAAAqAQAAZHJzL2Uyb0RvYy54bWxQSwUGAAAA&#10;AAYABgBZAQAA3QYAAAAA&#10;">
                <o:lock v:ext="edit" aspectratio="f"/>
                <v:shape id="文本框 32" o:spid="_x0000_s1026" o:spt="202" type="#_x0000_t202" style="position:absolute;left:13325;top:1831;height:1348;width:4462;"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distribute"/>
                          <w:rPr>
                            <w:rFonts w:ascii="方正魏碑简体" w:hAnsi="Arial" w:eastAsia="方正魏碑简体" w:cs="Arial"/>
                            <w:color w:val="000000" w:themeColor="text1"/>
                            <w:kern w:val="0"/>
                            <w:sz w:val="2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方正魏碑简体" w:hAnsi="Arial" w:eastAsia="方正魏碑简体" w:cs="Arial"/>
                            <w:color w:val="000000" w:themeColor="text1"/>
                            <w:spacing w:val="60"/>
                            <w:kern w:val="24"/>
                            <w:sz w:val="72"/>
                            <w:szCs w:val="72"/>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2023年度</w:t>
                        </w:r>
                      </w:p>
                    </w:txbxContent>
                  </v:textbox>
                </v:shape>
                <v:group id="_x0000_s1026" o:spid="_x0000_s1026" o:spt="203" style="position:absolute;left:12098;top:3193;height:1607;width:9377;" coordorigin="6119,2843" coordsize="9377,1607"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文本框 32" o:spid="_x0000_s1026" o:spt="202" type="#_x0000_t202" style="position:absolute;left:6119;top:2843;height:1421;width:937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jc w:val="left"/>
                            <w:rPr>
                              <w:rFonts w:ascii="黑体" w:hAnsi="黑体" w:eastAsia="黑体" w:cs="黑体"/>
                              <w:color w:val="000000" w:themeColor="text1"/>
                              <w:kern w:val="0"/>
                              <w:sz w:val="24"/>
                              <w:szCs w:val="24"/>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r>
                            <w:rPr>
                              <w:rFonts w:hint="eastAsia" w:ascii="黑体" w:hAnsi="黑体" w:eastAsia="黑体" w:cs="黑体"/>
                              <w:color w:val="000000" w:themeColor="text1"/>
                              <w:spacing w:val="60"/>
                              <w:kern w:val="24"/>
                              <w:sz w:val="96"/>
                              <w:szCs w:val="96"/>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t>部门决算公开文本</w:t>
                          </w:r>
                        </w:p>
                      </w:txbxContent>
                    </v:textbox>
                  </v:shape>
                  <v:line id="_x0000_s1026" o:spid="_x0000_s1026" o:spt="20" style="position:absolute;left:6226;top:4450;height:0;width:8700;" filled="f" stroked="t" coordsize="21600,21600" o:gfxdata="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kshgLsAAADa&#10;AAAADwAAAAAAAAABACAAAAAiAAAAZHJzL2Rvd25yZXYueG1sUEsBAhQAFAAAAAgAh07iQDMvBZ47&#10;AAAAOQAAABAAAAAAAAAAAQAgAAAACgEAAGRycy9zaGFwZXhtbC54bWxQSwUGAAAAAAYABgBbAQAA&#10;tAMAAAAA&#10;">
                    <v:fill on="f" focussize="0,0"/>
                    <v:stroke weight="2.25pt" color="#41719C [3204]" miterlimit="8" joinstyle="miter" dashstyle="1 1"/>
                    <v:imagedata o:title=""/>
                    <o:lock v:ext="edit" aspectratio="f"/>
                  </v:line>
                </v:group>
              </v:group>
            </w:pict>
          </mc:Fallback>
        </mc:AlternateContent>
      </w:r>
      <w:r>
        <w:drawing>
          <wp:anchor distT="0" distB="0" distL="114300" distR="114300" simplePos="0" relativeHeight="251666432" behindDoc="0" locked="0" layoutInCell="1" allowOverlap="1">
            <wp:simplePos x="0" y="0"/>
            <wp:positionH relativeFrom="column">
              <wp:posOffset>-95250</wp:posOffset>
            </wp:positionH>
            <wp:positionV relativeFrom="margin">
              <wp:posOffset>-27305</wp:posOffset>
            </wp:positionV>
            <wp:extent cx="506095" cy="506095"/>
            <wp:effectExtent l="0" t="0" r="8255" b="8255"/>
            <wp:wrapNone/>
            <wp:docPr id="3" name="图片 3" descr="32313539313538323b32313539313537353bb5e7c4d4b0ecb9ab"/>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21591575&quot;,&quot;origin&quot;:0,&quot;type&quot;:&quot;icons&quot;,&quot;user&quot;:&quot;292216292&quot;}"/>
                  </s:tag>
                </a:ext>
              </a:extLst>
            </wp:cNvGraphicFramePr>
            <a:graphic xmlns:a="http://schemas.openxmlformats.org/drawingml/2006/main">
              <a:graphicData uri="http://schemas.openxmlformats.org/drawingml/2006/picture">
                <pic:pic xmlns:pic="http://schemas.openxmlformats.org/drawingml/2006/picture">
                  <pic:nvPicPr>
                    <pic:cNvPr id="3" name="图片 3" descr="32313539313538323b32313539313537353bb5e7c4d4b0ecb9ab"/>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506095" cy="506095"/>
                    </a:xfrm>
                    <a:prstGeom prst="rect">
                      <a:avLst/>
                    </a:prstGeom>
                  </pic:spPr>
                </pic:pic>
              </a:graphicData>
            </a:graphic>
          </wp:anchor>
        </w:drawing>
      </w:r>
      <w:r>
        <mc:AlternateContent>
          <mc:Choice Requires="wps">
            <w:drawing>
              <wp:anchor distT="0" distB="0" distL="114300" distR="114300" simplePos="0" relativeHeight="251663360"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260090" cy="520700"/>
                        </a:xfrm>
                        <a:prstGeom prst="rect">
                          <a:avLst/>
                        </a:prstGeom>
                        <a:noFill/>
                        <a:ln w="9525">
                          <a:noFill/>
                          <a:miter lim="800000"/>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二〇二四年十一月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88.2pt;margin-top:625.4pt;height:41pt;width:256.7pt;z-index:251663360;mso-width-relative:page;mso-height-relative:page;" filled="f" stroked="f" coordsize="21600,21600" o:gfxdata="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s&#10;57Bx2AAAAA0BAAAPAAAAAAAAAAEAIAAAACIAAABkcnMvZG93bnJldi54bWxQSwECFAAUAAAACACH&#10;TuJAIAewiyQCAAAqBAAADgAAAAAAAAABACAAAAAnAQAAZHJzL2Uyb0RvYy54bWxQSwUGAAAAAAYA&#10;BgBZAQAAvQUAAAAA&#10;">
                <v:fill on="f" focussize="0,0"/>
                <v:stroke on="f" miterlimit="8" joinstyle="miter"/>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二〇二四年十一月</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1"/>
                      <wps:spPr>
                        <a:xfrm>
                          <a:off x="0" y="0"/>
                          <a:ext cx="5494020" cy="570230"/>
                        </a:xfrm>
                        <a:prstGeom prst="rect">
                          <a:avLst/>
                        </a:prstGeom>
                        <a:noFill/>
                      </wps:spPr>
                      <wps:txbx>
                        <w:txbxContent>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0288;mso-width-relative:page;mso-height-relative:page;" filled="f" stroked="f" coordsize="21600,21600" o:gfxdata="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allr9gAAAALAQAADwAAAAAAAAABACAAAAAiAAAAZHJzL2Rvd25yZXYueG1sUEsB&#10;AhQAFAAAAAgAh07iQFu9ble8AQAAXwMAAA4AAAAAAAAAAQAgAAAAJwEAAGRycy9lMm9Eb2MueG1s&#10;UEsFBgAAAAAGAAYAWQEAAFUFAAAAAA==&#10;">
                <v:fill on="f" focussize="0,0"/>
                <v:stroke on="f"/>
                <v:imagedata o:title=""/>
                <o:lock v:ext="edit" aspectratio="f"/>
                <v:textbox>
                  <w:txbxContent>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rot="16200000">
                      <a:off x="0" y="0"/>
                      <a:ext cx="11083290" cy="7844790"/>
                    </a:xfrm>
                    <a:prstGeom prst="rect">
                      <a:avLst/>
                    </a:prstGeom>
                  </pic:spPr>
                </pic:pic>
              </a:graphicData>
            </a:graphic>
          </wp:anchor>
        </w:drawing>
      </w:r>
    </w:p>
    <w:p>
      <w:pPr>
        <w:tabs>
          <w:tab w:val="left" w:pos="2728"/>
        </w:tabs>
        <w:jc w:val="both"/>
        <w:rPr>
          <w:rFonts w:ascii="黑体" w:hAnsi="Times New Roman" w:eastAsia="黑体" w:cs="Times New Roman"/>
          <w:sz w:val="48"/>
          <w:szCs w:val="48"/>
        </w:rPr>
      </w:pP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2023年</w:t>
      </w:r>
      <w:r>
        <w:rPr>
          <w:rFonts w:ascii="Times New Roman" w:hAnsi="Times New Roman" w:eastAsia="黑体" w:cs="Times New Roman"/>
          <w:sz w:val="32"/>
          <w:szCs w:val="32"/>
        </w:rPr>
        <w:t>度部门决算报表</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w:t>
      </w:r>
      <w:r>
        <w:rPr>
          <w:rFonts w:hint="eastAsia" w:ascii="Times New Roman" w:hAnsi="Times New Roman" w:eastAsia="仿宋_GB2312" w:cs="Times New Roman"/>
          <w:sz w:val="32"/>
          <w:szCs w:val="32"/>
        </w:rPr>
        <w:t>表</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五、一般公共预算财政拨款支出决算表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六、一般公共预算财政拨款基本支出决算明细表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七、政府性基金预算财政拨款收入支出决算表</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国有资本经营预算财政拨款支出决算表</w:t>
      </w:r>
    </w:p>
    <w:p>
      <w:pPr>
        <w:widowControl/>
        <w:spacing w:after="160" w:line="580" w:lineRule="exact"/>
        <w:ind w:left="640" w:firstLine="640" w:firstLineChars="200"/>
        <w:rPr>
          <w:rFonts w:ascii="Times New Roman" w:hAnsi="Times New Roman" w:eastAsia="仿宋_GB2312" w:cs="Times New Roman"/>
          <w:sz w:val="20"/>
          <w:szCs w:val="32"/>
        </w:rPr>
      </w:pPr>
      <w:r>
        <w:rPr>
          <w:rFonts w:hint="eastAsia" w:ascii="Times New Roman" w:hAnsi="Times New Roman" w:eastAsia="仿宋_GB2312" w:cs="Times New Roman"/>
          <w:sz w:val="32"/>
          <w:szCs w:val="32"/>
        </w:rPr>
        <w:t>九、财政拨款“三公”经费支出决算表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2023年度</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五、财政拨款“三公”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六、机关运行经费支出说明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七、政府采购支出说明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八、国有资产占用情况说明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5" w:type="first"/>
          <w:footerReference r:id="rId7" w:type="first"/>
          <w:headerReference r:id="rId4" w:type="default"/>
          <w:footerReference r:id="rId6" w:type="default"/>
          <w:pgSz w:w="11906" w:h="16838"/>
          <w:pgMar w:top="1474" w:right="1531" w:bottom="1474" w:left="1531" w:header="851" w:footer="992" w:gutter="0"/>
          <w:cols w:space="0" w:num="1"/>
          <w:titlePg/>
          <w:docGrid w:type="lines" w:linePitch="312" w:charSpace="0"/>
        </w:sectPr>
      </w:pPr>
    </w:p>
    <w:p>
      <w:pPr>
        <w:widowControl/>
        <w:jc w:val="cente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pPr>
        <w:widowControl/>
        <w:spacing w:line="580" w:lineRule="exact"/>
        <w:ind w:firstLine="640" w:firstLineChars="200"/>
        <w:rPr>
          <w:rFonts w:eastAsia="黑体"/>
          <w:sz w:val="32"/>
          <w:szCs w:val="32"/>
        </w:rPr>
      </w:pPr>
    </w:p>
    <w:p>
      <w:pPr>
        <w:pStyle w:val="2"/>
        <w:numPr>
          <w:ilvl w:val="0"/>
          <w:numId w:val="1"/>
        </w:numPr>
        <w:spacing w:before="0" w:after="0" w:line="580" w:lineRule="exact"/>
        <w:jc w:val="left"/>
        <w:rPr>
          <w:rFonts w:ascii="黑体" w:eastAsia="黑体" w:cs="黑体"/>
          <w:b w:val="0"/>
          <w:bCs w:val="0"/>
          <w:kern w:val="0"/>
          <w:sz w:val="18"/>
          <w:szCs w:val="18"/>
        </w:rPr>
      </w:pPr>
      <w:r>
        <w:rPr>
          <w:rFonts w:hint="eastAsia" w:ascii="黑体" w:eastAsia="黑体" w:cs="黑体"/>
          <w:b w:val="0"/>
          <w:bCs w:val="0"/>
          <w:kern w:val="0"/>
          <w:sz w:val="32"/>
          <w:szCs w:val="32"/>
        </w:rPr>
        <w:t>部门职责</w:t>
      </w:r>
    </w:p>
    <w:p>
      <w:pPr>
        <w:rPr>
          <w:rFonts w:hint="eastAsia"/>
        </w:rPr>
      </w:pP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1、认真执行宪法、法律、行政法规和上级人民代表大会及  其常务委员会决议；领导主持本级人民代表大会代表的选举；召 集本级人民代表大会会议 ；讨论、决定本行政区域内的政治</w:t>
      </w:r>
      <w:r>
        <w:rPr>
          <w:rFonts w:hint="eastAsia" w:ascii="仿宋_GB2312" w:eastAsia="仿宋_GB2312" w:cs="ArialUnicodeMS"/>
          <w:kern w:val="0"/>
          <w:sz w:val="32"/>
          <w:szCs w:val="32"/>
        </w:rPr>
        <w:t>、</w:t>
      </w:r>
      <w:r>
        <w:rPr>
          <w:rFonts w:ascii="仿宋_GB2312" w:eastAsia="仿宋_GB2312" w:cs="ArialUnicodeMS"/>
          <w:kern w:val="0"/>
          <w:sz w:val="32"/>
          <w:szCs w:val="32"/>
        </w:rPr>
        <w:t>经济、文化等重大工作事项；监督财政预决算的执行情况。</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2、负责全镇党组织建设；党委自身建设和以党支部为核心的村级组织建设，对党员的管理和监督工作；负责镇村两级党员干部队伍管理、培养选拔、教育培训、考核，做好党员发展、党员组织关系接转、收缴党费和党员统计工作，建立健全各项干  部管理制度;负责党委民主生活会组织、准备工作；党委交办的其他工作。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3、加强基层党员教育，组织开展系列宣传教育活动</w:t>
      </w:r>
      <w:r>
        <w:rPr>
          <w:rFonts w:hint="eastAsia" w:ascii="仿宋_GB2312" w:eastAsia="仿宋_GB2312" w:cs="ArialUnicodeMS"/>
          <w:kern w:val="0"/>
          <w:sz w:val="32"/>
          <w:szCs w:val="32"/>
        </w:rPr>
        <w:t>。</w:t>
      </w:r>
      <w:r>
        <w:rPr>
          <w:rFonts w:ascii="仿宋_GB2312" w:eastAsia="仿宋_GB2312" w:cs="ArialUnicodeMS"/>
          <w:kern w:val="0"/>
          <w:sz w:val="32"/>
          <w:szCs w:val="32"/>
        </w:rPr>
        <w:t>制订宣传工作发展计划，开展多种形式的文化交流活动。加强网络安全和信息化工作，加强互联网宣传和信息内容管理，加强网络文化建设。其他日常工作。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4、认真接办上级政府各</w:t>
      </w:r>
      <w:r>
        <w:rPr>
          <w:rFonts w:hint="eastAsia" w:ascii="仿宋_GB2312" w:eastAsia="仿宋_GB2312" w:cs="ArialUnicodeMS"/>
          <w:kern w:val="0"/>
          <w:sz w:val="32"/>
          <w:szCs w:val="32"/>
        </w:rPr>
        <w:t>单位</w:t>
      </w:r>
      <w:r>
        <w:rPr>
          <w:rFonts w:ascii="仿宋_GB2312" w:eastAsia="仿宋_GB2312" w:cs="ArialUnicodeMS"/>
          <w:kern w:val="0"/>
          <w:sz w:val="32"/>
          <w:szCs w:val="32"/>
        </w:rPr>
        <w:t>和下级来文来电；按照有关要求，做好机关办公区房屋与附属设施的维修、维护工作；做好机关办公区绿化、美化工作；做好机关车辆日常管理、后勤保障和干部管理服务工作。</w:t>
      </w:r>
    </w:p>
    <w:p>
      <w:pPr>
        <w:spacing w:line="360" w:lineRule="auto"/>
        <w:jc w:val="left"/>
        <w:outlineLvl w:val="0"/>
        <w:rPr>
          <w:rFonts w:ascii="仿宋_GB2312" w:eastAsia="仿宋_GB2312" w:cs="ArialUnicodeMS"/>
          <w:kern w:val="0"/>
          <w:sz w:val="32"/>
          <w:szCs w:val="32"/>
        </w:rPr>
        <w:sectPr>
          <w:pgSz w:w="11900" w:h="16820"/>
          <w:pgMar w:top="400" w:right="1462" w:bottom="400" w:left="1544" w:header="0" w:footer="0" w:gutter="0"/>
          <w:cols w:space="720" w:num="1"/>
        </w:sectPr>
      </w:pPr>
    </w:p>
    <w:p>
      <w:pPr>
        <w:spacing w:line="360" w:lineRule="auto"/>
        <w:ind w:firstLine="640" w:firstLineChars="200"/>
        <w:jc w:val="left"/>
        <w:outlineLvl w:val="0"/>
        <w:rPr>
          <w:rFonts w:ascii="仿宋_GB2312" w:eastAsia="仿宋_GB2312" w:cs="ArialUnicodeMS"/>
          <w:kern w:val="0"/>
          <w:sz w:val="32"/>
          <w:szCs w:val="32"/>
        </w:rPr>
      </w:pP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5、对有关对象违反党纪政纪和违纪违法行为进行处理</w:t>
      </w:r>
      <w:r>
        <w:rPr>
          <w:rFonts w:hint="eastAsia" w:ascii="仿宋_GB2312" w:eastAsia="仿宋_GB2312" w:cs="ArialUnicodeMS"/>
          <w:kern w:val="0"/>
          <w:sz w:val="32"/>
          <w:szCs w:val="32"/>
        </w:rPr>
        <w:t>；</w:t>
      </w:r>
      <w:r>
        <w:rPr>
          <w:rFonts w:ascii="仿宋_GB2312" w:eastAsia="仿宋_GB2312" w:cs="ArialUnicodeMS"/>
          <w:kern w:val="0"/>
          <w:sz w:val="32"/>
          <w:szCs w:val="32"/>
        </w:rPr>
        <w:t>组织协调案件查办工作；组织协调全镇党风廉政建设和反腐败宣传教育工作，开展对党员、公务员的廉洁自律教育；通过教育培训， 全面提高纪检干部队伍素质。</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6、负责全镇民兵组织建设、政治教育、军事训练、武装装备管理及征兵工作。做好退伍军人的安置和优抚工作。完善社会 救助体系建设，做好农村最低生活保障、五保供养、临时生活救</w:t>
      </w:r>
    </w:p>
    <w:p>
      <w:pPr>
        <w:spacing w:line="360" w:lineRule="auto"/>
        <w:jc w:val="left"/>
        <w:outlineLvl w:val="0"/>
        <w:rPr>
          <w:rFonts w:ascii="仿宋_GB2312" w:eastAsia="仿宋_GB2312" w:cs="ArialUnicodeMS"/>
          <w:kern w:val="0"/>
          <w:sz w:val="32"/>
          <w:szCs w:val="32"/>
        </w:rPr>
      </w:pPr>
      <w:r>
        <w:rPr>
          <w:rFonts w:ascii="仿宋_GB2312" w:eastAsia="仿宋_GB2312" w:cs="ArialUnicodeMS"/>
          <w:kern w:val="0"/>
          <w:sz w:val="32"/>
          <w:szCs w:val="32"/>
        </w:rPr>
        <w:t>助 、医疗救助 、救灾防灾等工作。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7、主持基层工会的日常工作</w:t>
      </w:r>
      <w:r>
        <w:rPr>
          <w:rFonts w:hint="eastAsia" w:ascii="仿宋_GB2312" w:eastAsia="仿宋_GB2312" w:cs="ArialUnicodeMS"/>
          <w:kern w:val="0"/>
          <w:sz w:val="32"/>
          <w:szCs w:val="32"/>
        </w:rPr>
        <w:t>；</w:t>
      </w:r>
      <w:r>
        <w:rPr>
          <w:rFonts w:ascii="仿宋_GB2312" w:eastAsia="仿宋_GB2312" w:cs="ArialUnicodeMS"/>
          <w:kern w:val="0"/>
          <w:sz w:val="32"/>
          <w:szCs w:val="32"/>
        </w:rPr>
        <w:t>宣传妇女和妇联工作</w:t>
      </w:r>
      <w:r>
        <w:rPr>
          <w:rFonts w:hint="eastAsia" w:ascii="仿宋_GB2312" w:eastAsia="仿宋_GB2312" w:cs="ArialUnicodeMS"/>
          <w:kern w:val="0"/>
          <w:sz w:val="32"/>
          <w:szCs w:val="32"/>
        </w:rPr>
        <w:t>，</w:t>
      </w:r>
      <w:r>
        <w:rPr>
          <w:rFonts w:ascii="仿宋_GB2312" w:eastAsia="仿宋_GB2312" w:cs="ArialUnicodeMS"/>
          <w:kern w:val="0"/>
          <w:sz w:val="32"/>
          <w:szCs w:val="32"/>
        </w:rPr>
        <w:t>帮助妇女拓宽就业渠道，普及有关妇女</w:t>
      </w:r>
      <w:r>
        <w:rPr>
          <w:rFonts w:hint="eastAsia" w:ascii="仿宋_GB2312" w:eastAsia="仿宋_GB2312" w:cs="ArialUnicodeMS"/>
          <w:kern w:val="0"/>
          <w:sz w:val="32"/>
          <w:szCs w:val="32"/>
        </w:rPr>
        <w:t>、</w:t>
      </w:r>
      <w:r>
        <w:rPr>
          <w:rFonts w:ascii="仿宋_GB2312" w:eastAsia="仿宋_GB2312" w:cs="ArialUnicodeMS"/>
          <w:kern w:val="0"/>
          <w:sz w:val="32"/>
          <w:szCs w:val="32"/>
        </w:rPr>
        <w:t>儿童的法律知识</w:t>
      </w:r>
      <w:r>
        <w:rPr>
          <w:rFonts w:hint="eastAsia" w:ascii="仿宋_GB2312" w:eastAsia="仿宋_GB2312" w:cs="ArialUnicodeMS"/>
          <w:kern w:val="0"/>
          <w:sz w:val="32"/>
          <w:szCs w:val="32"/>
        </w:rPr>
        <w:t>，</w:t>
      </w:r>
      <w:r>
        <w:rPr>
          <w:rFonts w:ascii="仿宋_GB2312" w:eastAsia="仿宋_GB2312" w:cs="ArialUnicodeMS"/>
          <w:kern w:val="0"/>
          <w:sz w:val="32"/>
          <w:szCs w:val="32"/>
        </w:rPr>
        <w:t>为受害妇 女儿童提供法律援助和社会服务；加强团的组织、思想和制度建 设，积极发挥党的助手作用，维护团员和青年的合法权益，严肃</w:t>
      </w:r>
    </w:p>
    <w:p>
      <w:pPr>
        <w:spacing w:line="360" w:lineRule="auto"/>
        <w:jc w:val="left"/>
        <w:outlineLvl w:val="0"/>
        <w:rPr>
          <w:rFonts w:ascii="仿宋_GB2312" w:eastAsia="仿宋_GB2312" w:cs="ArialUnicodeMS"/>
          <w:kern w:val="0"/>
          <w:sz w:val="32"/>
          <w:szCs w:val="32"/>
        </w:rPr>
      </w:pPr>
      <w:r>
        <w:rPr>
          <w:rFonts w:ascii="仿宋_GB2312" w:eastAsia="仿宋_GB2312" w:cs="ArialUnicodeMS"/>
          <w:kern w:val="0"/>
          <w:sz w:val="32"/>
          <w:szCs w:val="32"/>
        </w:rPr>
        <w:t>团的纪律。其他日常工作。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8、贯彻执行国家国民经济核算制度，核算全镇生产总值</w:t>
      </w:r>
      <w:r>
        <w:rPr>
          <w:rFonts w:hint="eastAsia" w:ascii="仿宋_GB2312" w:eastAsia="仿宋_GB2312" w:cs="ArialUnicodeMS"/>
          <w:kern w:val="0"/>
          <w:sz w:val="32"/>
          <w:szCs w:val="32"/>
        </w:rPr>
        <w:t>，</w:t>
      </w:r>
      <w:r>
        <w:rPr>
          <w:rFonts w:ascii="仿宋_GB2312" w:eastAsia="仿宋_GB2312" w:cs="ArialUnicodeMS"/>
          <w:kern w:val="0"/>
          <w:sz w:val="32"/>
          <w:szCs w:val="32"/>
        </w:rPr>
        <w:t>整理、测算和提供国民经济核算资料，按上级要求组织实施涉及</w:t>
      </w:r>
    </w:p>
    <w:p>
      <w:pPr>
        <w:spacing w:line="360" w:lineRule="auto"/>
        <w:jc w:val="left"/>
        <w:outlineLvl w:val="0"/>
        <w:rPr>
          <w:rFonts w:ascii="仿宋_GB2312" w:eastAsia="仿宋_GB2312" w:cs="ArialUnicodeMS"/>
          <w:kern w:val="0"/>
          <w:sz w:val="32"/>
          <w:szCs w:val="32"/>
        </w:rPr>
      </w:pPr>
      <w:r>
        <w:rPr>
          <w:rFonts w:ascii="仿宋_GB2312" w:eastAsia="仿宋_GB2312" w:cs="ArialUnicodeMS"/>
          <w:kern w:val="0"/>
          <w:sz w:val="32"/>
          <w:szCs w:val="32"/>
        </w:rPr>
        <w:t>相关行业数据的专项统计调查。</w:t>
      </w:r>
    </w:p>
    <w:p>
      <w:pPr>
        <w:spacing w:line="360" w:lineRule="auto"/>
        <w:ind w:firstLine="640" w:firstLineChars="200"/>
        <w:jc w:val="left"/>
        <w:outlineLvl w:val="0"/>
        <w:rPr>
          <w:rFonts w:ascii="仿宋_GB2312" w:eastAsia="仿宋_GB2312" w:cs="ArialUnicodeMS"/>
          <w:kern w:val="0"/>
          <w:sz w:val="32"/>
          <w:szCs w:val="32"/>
        </w:rPr>
        <w:sectPr>
          <w:pgSz w:w="11900" w:h="16820"/>
          <w:pgMar w:top="400" w:right="1463" w:bottom="400" w:left="1543" w:header="0" w:footer="0" w:gutter="0"/>
          <w:cols w:space="720" w:num="1"/>
        </w:sectPr>
      </w:pPr>
      <w:r>
        <w:rPr>
          <w:rFonts w:ascii="仿宋_GB2312" w:eastAsia="仿宋_GB2312" w:cs="ArialUnicodeMS"/>
          <w:kern w:val="0"/>
          <w:sz w:val="32"/>
          <w:szCs w:val="32"/>
        </w:rPr>
        <w:t>9、定期开展矛盾纠纷排查</w:t>
      </w:r>
      <w:r>
        <w:rPr>
          <w:rFonts w:hint="eastAsia" w:ascii="仿宋_GB2312" w:eastAsia="仿宋_GB2312" w:cs="ArialUnicodeMS"/>
          <w:kern w:val="0"/>
          <w:sz w:val="32"/>
          <w:szCs w:val="32"/>
        </w:rPr>
        <w:t>，</w:t>
      </w:r>
      <w:r>
        <w:rPr>
          <w:rFonts w:ascii="仿宋_GB2312" w:eastAsia="仿宋_GB2312" w:cs="ArialUnicodeMS"/>
          <w:kern w:val="0"/>
          <w:sz w:val="32"/>
          <w:szCs w:val="32"/>
        </w:rPr>
        <w:t>按上级要求组织社会治安重点 整治工作;办理信访业务</w:t>
      </w:r>
      <w:r>
        <w:rPr>
          <w:rFonts w:hint="eastAsia" w:ascii="仿宋_GB2312" w:eastAsia="仿宋_GB2312" w:cs="ArialUnicodeMS"/>
          <w:kern w:val="0"/>
          <w:sz w:val="32"/>
          <w:szCs w:val="32"/>
        </w:rPr>
        <w:t>，</w:t>
      </w:r>
      <w:r>
        <w:rPr>
          <w:rFonts w:ascii="仿宋_GB2312" w:eastAsia="仿宋_GB2312" w:cs="ArialUnicodeMS"/>
          <w:kern w:val="0"/>
          <w:sz w:val="32"/>
          <w:szCs w:val="32"/>
        </w:rPr>
        <w:t>对信访事项督查、复查复核、听证做好组织协调、稳控劝返、服务保障工作，负责信访疑难案件的督办；组织开展普法、法制宣传教育以及对刑释解教人员的安置帮教工作，指导管理基层法律服务，积极参与社会治安综合治理工作</w:t>
      </w:r>
      <w:r>
        <w:rPr>
          <w:rFonts w:hint="eastAsia" w:ascii="仿宋_GB2312" w:eastAsia="仿宋_GB2312" w:cs="ArialUnicodeMS"/>
          <w:kern w:val="0"/>
          <w:sz w:val="32"/>
          <w:szCs w:val="32"/>
        </w:rPr>
        <w:t>，</w:t>
      </w:r>
      <w:r>
        <w:rPr>
          <w:rFonts w:ascii="仿宋_GB2312" w:eastAsia="仿宋_GB2312" w:cs="ArialUnicodeMS"/>
          <w:kern w:val="0"/>
          <w:sz w:val="32"/>
          <w:szCs w:val="32"/>
        </w:rPr>
        <w:t>及时报送综治信息。</w:t>
      </w:r>
    </w:p>
    <w:p>
      <w:pPr>
        <w:spacing w:line="360" w:lineRule="auto"/>
        <w:jc w:val="left"/>
        <w:outlineLvl w:val="0"/>
        <w:rPr>
          <w:rFonts w:ascii="仿宋_GB2312" w:eastAsia="仿宋_GB2312" w:cs="ArialUnicodeMS"/>
          <w:kern w:val="0"/>
          <w:sz w:val="32"/>
          <w:szCs w:val="32"/>
        </w:rPr>
      </w:pP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10、做好出生人口性别比治理工作的组织领导 、宣传倡导 、 利益导向、全程服务、严查“ 两非 ” 、统计监测、考核评估等重点工作；协助政府开展群众自治 、亲情关爱及幸福工程等工作，动员广大群众自觉参与和实行各项计划生育政策；做好人口计生宣传教育工作，营造良好社会氛围；做好流动人口计生管理和服务工作 ；定期组织育龄妇女检查；做好人口与计划生育统计工作</w:t>
      </w:r>
      <w:r>
        <w:rPr>
          <w:rFonts w:hint="eastAsia" w:ascii="仿宋_GB2312" w:eastAsia="仿宋_GB2312" w:cs="ArialUnicodeMS"/>
          <w:kern w:val="0"/>
          <w:sz w:val="32"/>
          <w:szCs w:val="32"/>
        </w:rPr>
        <w:t>；</w:t>
      </w:r>
      <w:r>
        <w:rPr>
          <w:rFonts w:ascii="仿宋_GB2312" w:eastAsia="仿宋_GB2312" w:cs="ArialUnicodeMS"/>
          <w:kern w:val="0"/>
          <w:sz w:val="32"/>
          <w:szCs w:val="32"/>
        </w:rPr>
        <w:t>为育龄群众提供计划生育技术服务、生育指导；负责本镇一孩登记</w:t>
      </w:r>
      <w:r>
        <w:rPr>
          <w:rFonts w:hint="eastAsia" w:ascii="仿宋_GB2312" w:eastAsia="仿宋_GB2312" w:cs="ArialUnicodeMS"/>
          <w:kern w:val="0"/>
          <w:sz w:val="32"/>
          <w:szCs w:val="32"/>
        </w:rPr>
        <w:t>、</w:t>
      </w:r>
      <w:r>
        <w:rPr>
          <w:rFonts w:ascii="仿宋_GB2312" w:eastAsia="仿宋_GB2312" w:cs="ArialUnicodeMS"/>
          <w:kern w:val="0"/>
          <w:sz w:val="32"/>
          <w:szCs w:val="32"/>
        </w:rPr>
        <w:t>《独生子女父母光荣证》、《流动人口婚育证明》的审核办理及《再生育服务证》的申请审批上报、农村部分计划生育家庭奖励扶助；负责村级计生工作人员的管理、业务培训、考核工作</w:t>
      </w:r>
      <w:r>
        <w:rPr>
          <w:rFonts w:hint="eastAsia" w:ascii="仿宋_GB2312" w:eastAsia="仿宋_GB2312" w:cs="ArialUnicodeMS"/>
          <w:kern w:val="0"/>
          <w:sz w:val="32"/>
          <w:szCs w:val="32"/>
        </w:rPr>
        <w:t>；</w:t>
      </w:r>
      <w:r>
        <w:rPr>
          <w:rFonts w:ascii="仿宋_GB2312" w:eastAsia="仿宋_GB2312" w:cs="ArialUnicodeMS"/>
          <w:kern w:val="0"/>
          <w:sz w:val="32"/>
          <w:szCs w:val="32"/>
        </w:rPr>
        <w:t>负责本镇人口计生信息工作， 准确掌握本镇年度出生人口数量、结构和育龄夫妇的婚育、节育状况及人口流动情况。其它日常工作。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11、按上级要求做好良种补贴工作的测算</w:t>
      </w:r>
      <w:r>
        <w:rPr>
          <w:rFonts w:hint="eastAsia" w:ascii="仿宋_GB2312" w:eastAsia="仿宋_GB2312" w:cs="ArialUnicodeMS"/>
          <w:kern w:val="0"/>
          <w:sz w:val="32"/>
          <w:szCs w:val="32"/>
        </w:rPr>
        <w:t>、</w:t>
      </w:r>
      <w:r>
        <w:rPr>
          <w:rFonts w:ascii="仿宋_GB2312" w:eastAsia="仿宋_GB2312" w:cs="ArialUnicodeMS"/>
          <w:kern w:val="0"/>
          <w:sz w:val="32"/>
          <w:szCs w:val="32"/>
        </w:rPr>
        <w:t>登记工作；农村能源清洁开发利用；农作物种子鉴定与推广</w:t>
      </w:r>
      <w:r>
        <w:rPr>
          <w:rFonts w:hint="eastAsia" w:ascii="仿宋_GB2312" w:eastAsia="仿宋_GB2312" w:cs="ArialUnicodeMS"/>
          <w:kern w:val="0"/>
          <w:sz w:val="32"/>
          <w:szCs w:val="32"/>
        </w:rPr>
        <w:t>；</w:t>
      </w:r>
      <w:r>
        <w:rPr>
          <w:rFonts w:ascii="仿宋_GB2312" w:eastAsia="仿宋_GB2312" w:cs="ArialUnicodeMS"/>
          <w:kern w:val="0"/>
          <w:sz w:val="32"/>
          <w:szCs w:val="32"/>
        </w:rPr>
        <w:t>畜牧良种繁育体系建设</w:t>
      </w:r>
      <w:r>
        <w:rPr>
          <w:rFonts w:hint="eastAsia" w:ascii="仿宋_GB2312" w:eastAsia="仿宋_GB2312" w:cs="ArialUnicodeMS"/>
          <w:kern w:val="0"/>
          <w:sz w:val="32"/>
          <w:szCs w:val="32"/>
        </w:rPr>
        <w:t>；</w:t>
      </w:r>
      <w:r>
        <w:rPr>
          <w:rFonts w:ascii="仿宋_GB2312" w:eastAsia="仿宋_GB2312" w:cs="ArialUnicodeMS"/>
          <w:kern w:val="0"/>
          <w:sz w:val="32"/>
          <w:szCs w:val="32"/>
        </w:rPr>
        <w:t>动植物疫病防控</w:t>
      </w:r>
      <w:r>
        <w:rPr>
          <w:rFonts w:hint="eastAsia" w:ascii="仿宋_GB2312" w:eastAsia="仿宋_GB2312" w:cs="ArialUnicodeMS"/>
          <w:kern w:val="0"/>
          <w:sz w:val="32"/>
          <w:szCs w:val="32"/>
        </w:rPr>
        <w:t>；</w:t>
      </w:r>
      <w:r>
        <w:rPr>
          <w:rFonts w:ascii="仿宋_GB2312" w:eastAsia="仿宋_GB2312" w:cs="ArialUnicodeMS"/>
          <w:kern w:val="0"/>
          <w:sz w:val="32"/>
          <w:szCs w:val="32"/>
        </w:rPr>
        <w:t>农业信息服务</w:t>
      </w:r>
      <w:r>
        <w:rPr>
          <w:rFonts w:hint="eastAsia" w:ascii="仿宋_GB2312" w:eastAsia="仿宋_GB2312" w:cs="ArialUnicodeMS"/>
          <w:kern w:val="0"/>
          <w:sz w:val="32"/>
          <w:szCs w:val="32"/>
        </w:rPr>
        <w:t>；</w:t>
      </w:r>
      <w:r>
        <w:rPr>
          <w:rFonts w:ascii="仿宋_GB2312" w:eastAsia="仿宋_GB2312" w:cs="ArialUnicodeMS"/>
          <w:kern w:val="0"/>
          <w:sz w:val="32"/>
          <w:szCs w:val="32"/>
        </w:rPr>
        <w:t>农业教育与技能培训</w:t>
      </w:r>
      <w:r>
        <w:rPr>
          <w:rFonts w:hint="eastAsia" w:ascii="仿宋_GB2312" w:eastAsia="仿宋_GB2312" w:cs="ArialUnicodeMS"/>
          <w:kern w:val="0"/>
          <w:sz w:val="32"/>
          <w:szCs w:val="32"/>
        </w:rPr>
        <w:t>；</w:t>
      </w:r>
      <w:r>
        <w:rPr>
          <w:rFonts w:ascii="仿宋_GB2312" w:eastAsia="仿宋_GB2312" w:cs="ArialUnicodeMS"/>
          <w:kern w:val="0"/>
          <w:sz w:val="32"/>
          <w:szCs w:val="32"/>
        </w:rPr>
        <w:t>农业技术推广</w:t>
      </w:r>
      <w:r>
        <w:rPr>
          <w:rFonts w:hint="eastAsia" w:ascii="仿宋_GB2312" w:eastAsia="仿宋_GB2312" w:cs="ArialUnicodeMS"/>
          <w:kern w:val="0"/>
          <w:sz w:val="32"/>
          <w:szCs w:val="32"/>
        </w:rPr>
        <w:t>；</w:t>
      </w:r>
      <w:r>
        <w:rPr>
          <w:rFonts w:ascii="仿宋_GB2312" w:eastAsia="仿宋_GB2312" w:cs="ArialUnicodeMS"/>
          <w:kern w:val="0"/>
          <w:sz w:val="32"/>
          <w:szCs w:val="32"/>
        </w:rPr>
        <w:t>农业防灾减灾促进</w:t>
      </w:r>
      <w:r>
        <w:rPr>
          <w:rFonts w:hint="eastAsia" w:ascii="仿宋_GB2312" w:eastAsia="仿宋_GB2312" w:cs="ArialUnicodeMS"/>
          <w:kern w:val="0"/>
          <w:sz w:val="32"/>
          <w:szCs w:val="32"/>
        </w:rPr>
        <w:t>；</w:t>
      </w:r>
      <w:r>
        <w:rPr>
          <w:rFonts w:ascii="仿宋_GB2312" w:eastAsia="仿宋_GB2312" w:cs="ArialUnicodeMS"/>
          <w:kern w:val="0"/>
          <w:sz w:val="32"/>
          <w:szCs w:val="32"/>
        </w:rPr>
        <w:t>土地流转</w:t>
      </w:r>
      <w:r>
        <w:rPr>
          <w:rFonts w:hint="eastAsia" w:ascii="仿宋_GB2312" w:eastAsia="仿宋_GB2312" w:cs="ArialUnicodeMS"/>
          <w:kern w:val="0"/>
          <w:sz w:val="32"/>
          <w:szCs w:val="32"/>
        </w:rPr>
        <w:t>；</w:t>
      </w:r>
      <w:r>
        <w:rPr>
          <w:rFonts w:ascii="仿宋_GB2312" w:eastAsia="仿宋_GB2312" w:cs="ArialUnicodeMS"/>
          <w:kern w:val="0"/>
          <w:sz w:val="32"/>
          <w:szCs w:val="32"/>
        </w:rPr>
        <w:t>土地确权登记</w:t>
      </w:r>
      <w:r>
        <w:rPr>
          <w:rFonts w:hint="eastAsia" w:ascii="仿宋_GB2312" w:eastAsia="仿宋_GB2312" w:cs="ArialUnicodeMS"/>
          <w:kern w:val="0"/>
          <w:sz w:val="32"/>
          <w:szCs w:val="32"/>
        </w:rPr>
        <w:t>；</w:t>
      </w:r>
    </w:p>
    <w:p>
      <w:pPr>
        <w:spacing w:line="360" w:lineRule="auto"/>
        <w:jc w:val="left"/>
        <w:outlineLvl w:val="0"/>
        <w:rPr>
          <w:rFonts w:ascii="仿宋_GB2312" w:eastAsia="仿宋_GB2312" w:cs="ArialUnicodeMS"/>
          <w:kern w:val="0"/>
          <w:sz w:val="32"/>
          <w:szCs w:val="32"/>
        </w:rPr>
      </w:pPr>
      <w:r>
        <w:rPr>
          <w:rFonts w:ascii="仿宋_GB2312" w:eastAsia="仿宋_GB2312" w:cs="ArialUnicodeMS"/>
          <w:kern w:val="0"/>
          <w:sz w:val="32"/>
          <w:szCs w:val="32"/>
        </w:rPr>
        <w:t>农村经营管理等工作</w:t>
      </w:r>
      <w:r>
        <w:rPr>
          <w:rFonts w:hint="eastAsia" w:ascii="仿宋_GB2312" w:eastAsia="仿宋_GB2312" w:cs="ArialUnicodeMS"/>
          <w:kern w:val="0"/>
          <w:sz w:val="32"/>
          <w:szCs w:val="32"/>
          <w:lang w:eastAsia="zh-CN"/>
        </w:rPr>
        <w:t>；</w:t>
      </w:r>
      <w:r>
        <w:rPr>
          <w:rFonts w:ascii="仿宋_GB2312" w:eastAsia="仿宋_GB2312" w:cs="ArialUnicodeMS"/>
          <w:kern w:val="0"/>
          <w:sz w:val="32"/>
          <w:szCs w:val="32"/>
        </w:rPr>
        <w:t>其他日常工作。</w:t>
      </w: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12、协助村做好党的方针政策、国家法律法规和上级党委政 府有关文件精神的宣传贯彻工作；协助完成富民强村建设的各项 任务；协助做好制度规范、文字和档案管理工作；协助做好远程</w:t>
      </w:r>
    </w:p>
    <w:p>
      <w:pPr>
        <w:spacing w:line="360" w:lineRule="auto"/>
        <w:jc w:val="left"/>
        <w:outlineLvl w:val="0"/>
        <w:rPr>
          <w:rFonts w:ascii="仿宋_GB2312" w:eastAsia="仿宋_GB2312" w:cs="ArialUnicodeMS"/>
          <w:kern w:val="0"/>
          <w:sz w:val="32"/>
          <w:szCs w:val="32"/>
        </w:rPr>
        <w:sectPr>
          <w:pgSz w:w="11900" w:h="16820"/>
          <w:pgMar w:top="400" w:right="1429" w:bottom="400" w:left="1541" w:header="0" w:footer="0" w:gutter="0"/>
          <w:cols w:space="720" w:num="1"/>
        </w:sectPr>
      </w:pPr>
      <w:r>
        <w:rPr>
          <w:rFonts w:ascii="仿宋_GB2312" w:eastAsia="仿宋_GB2312" w:cs="ArialUnicodeMS"/>
          <w:kern w:val="0"/>
          <w:sz w:val="32"/>
          <w:szCs w:val="32"/>
        </w:rPr>
        <w:t>教育 、科技普及和精神文明推广工作</w:t>
      </w:r>
      <w:r>
        <w:rPr>
          <w:rFonts w:hint="eastAsia" w:ascii="仿宋_GB2312" w:eastAsia="仿宋_GB2312" w:cs="ArialUnicodeMS"/>
          <w:kern w:val="0"/>
          <w:sz w:val="32"/>
          <w:szCs w:val="32"/>
        </w:rPr>
        <w:t>。</w:t>
      </w:r>
    </w:p>
    <w:p>
      <w:pPr>
        <w:spacing w:line="360" w:lineRule="auto"/>
        <w:jc w:val="left"/>
        <w:outlineLvl w:val="0"/>
        <w:rPr>
          <w:rFonts w:ascii="仿宋_GB2312" w:eastAsia="仿宋_GB2312" w:cs="ArialUnicodeMS"/>
          <w:kern w:val="0"/>
          <w:sz w:val="32"/>
          <w:szCs w:val="32"/>
        </w:rPr>
      </w:pPr>
    </w:p>
    <w:p>
      <w:pPr>
        <w:spacing w:line="360" w:lineRule="auto"/>
        <w:ind w:firstLine="640" w:firstLineChars="200"/>
        <w:jc w:val="left"/>
        <w:outlineLvl w:val="0"/>
        <w:rPr>
          <w:rFonts w:ascii="仿宋_GB2312" w:eastAsia="仿宋_GB2312" w:cs="ArialUnicodeMS"/>
          <w:kern w:val="0"/>
          <w:sz w:val="32"/>
          <w:szCs w:val="32"/>
        </w:rPr>
      </w:pPr>
      <w:r>
        <w:rPr>
          <w:rFonts w:ascii="仿宋_GB2312" w:eastAsia="仿宋_GB2312" w:cs="ArialUnicodeMS"/>
          <w:kern w:val="0"/>
          <w:sz w:val="32"/>
          <w:szCs w:val="32"/>
        </w:rPr>
        <w:t>13、承办县政府交办的其他事项。</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从决算编报单位构成看，纳入2023年度本部门决算汇编范围的独立核算单位（以下简称“单位”）共</w:t>
      </w:r>
      <w:r>
        <w:rPr>
          <w:rFonts w:ascii="仿宋_GB2312" w:hAnsi="Calibri" w:eastAsia="仿宋_GB2312" w:cs="ArialUnicodeMS"/>
          <w:kern w:val="0"/>
          <w:sz w:val="32"/>
          <w:szCs w:val="32"/>
        </w:rPr>
        <w:t>1</w:t>
      </w:r>
      <w:r>
        <w:rPr>
          <w:rFonts w:hint="eastAsia" w:ascii="仿宋_GB2312" w:hAnsi="Calibri" w:eastAsia="仿宋_GB2312"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pPr>
              <w:spacing w:before="229" w:line="166" w:lineRule="auto"/>
              <w:jc w:val="center"/>
              <w:rPr>
                <w:rFonts w:ascii="微软雅黑" w:hAnsi="微软雅黑" w:cs="微软雅黑"/>
                <w:sz w:val="24"/>
                <w:szCs w:val="24"/>
              </w:rPr>
            </w:pPr>
            <w:r>
              <w:rPr>
                <w:rFonts w:hint="eastAsia" w:ascii="微软雅黑" w:hAnsi="微软雅黑" w:cs="微软雅黑"/>
                <w:sz w:val="24"/>
                <w:szCs w:val="24"/>
              </w:rPr>
              <w:t>1</w:t>
            </w:r>
          </w:p>
        </w:tc>
        <w:tc>
          <w:tcPr>
            <w:tcW w:w="3485" w:type="dxa"/>
          </w:tcPr>
          <w:p>
            <w:pPr>
              <w:spacing w:before="205" w:line="203" w:lineRule="auto"/>
              <w:jc w:val="center"/>
              <w:rPr>
                <w:rFonts w:ascii="微软雅黑" w:hAnsi="微软雅黑" w:eastAsia="微软雅黑" w:cs="微软雅黑"/>
                <w:sz w:val="24"/>
                <w:szCs w:val="24"/>
              </w:rPr>
            </w:pPr>
            <w:r>
              <w:rPr>
                <w:rFonts w:ascii="微软雅黑" w:hAnsi="微软雅黑" w:eastAsia="微软雅黑" w:cs="微软雅黑"/>
                <w:color w:val="000008"/>
                <w:spacing w:val="-1"/>
                <w:sz w:val="24"/>
                <w:szCs w:val="24"/>
              </w:rPr>
              <w:t>怀来县新保安镇人民政府(本级)</w:t>
            </w:r>
          </w:p>
        </w:tc>
        <w:tc>
          <w:tcPr>
            <w:tcW w:w="2445" w:type="dxa"/>
          </w:tcPr>
          <w:p>
            <w:pPr>
              <w:spacing w:before="205" w:line="208" w:lineRule="auto"/>
              <w:ind w:firstLine="468" w:firstLineChars="200"/>
              <w:jc w:val="both"/>
              <w:rPr>
                <w:rFonts w:ascii="微软雅黑" w:hAnsi="微软雅黑" w:eastAsia="微软雅黑" w:cs="微软雅黑"/>
                <w:sz w:val="24"/>
                <w:szCs w:val="24"/>
              </w:rPr>
            </w:pPr>
            <w:r>
              <w:rPr>
                <w:rFonts w:ascii="微软雅黑" w:hAnsi="微软雅黑" w:eastAsia="微软雅黑" w:cs="微软雅黑"/>
                <w:color w:val="000008"/>
                <w:spacing w:val="-3"/>
                <w:sz w:val="24"/>
                <w:szCs w:val="24"/>
              </w:rPr>
              <w:t>行政单位</w:t>
            </w:r>
          </w:p>
        </w:tc>
        <w:tc>
          <w:tcPr>
            <w:tcW w:w="2665" w:type="dxa"/>
          </w:tcPr>
          <w:p>
            <w:pPr>
              <w:spacing w:before="205" w:line="208" w:lineRule="auto"/>
              <w:ind w:firstLine="702" w:firstLineChars="300"/>
              <w:jc w:val="both"/>
              <w:rPr>
                <w:rFonts w:ascii="微软雅黑" w:hAnsi="微软雅黑" w:eastAsia="微软雅黑" w:cs="微软雅黑"/>
                <w:sz w:val="24"/>
                <w:szCs w:val="24"/>
              </w:rPr>
            </w:pPr>
            <w:r>
              <w:rPr>
                <w:rFonts w:ascii="微软雅黑" w:hAnsi="微软雅黑" w:eastAsia="微软雅黑" w:cs="微软雅黑"/>
                <w:color w:val="000008"/>
                <w:spacing w:val="-3"/>
                <w:sz w:val="24"/>
                <w:szCs w:val="24"/>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注：1、单位基本性质分为行政单位、参公事业单位、财政补助事业单位、经费自理事业单位四类。</w:t>
            </w:r>
          </w:p>
          <w:p>
            <w:pPr>
              <w:spacing w:line="560" w:lineRule="exact"/>
              <w:ind w:firstLine="560" w:firstLineChars="200"/>
              <w:jc w:val="left"/>
              <w:rPr>
                <w:rFonts w:ascii="仿宋_GB2312" w:hAnsi="Calibri" w:eastAsia="仿宋_GB2312" w:cs="ArialUnicodeMS"/>
                <w:kern w:val="0"/>
                <w:sz w:val="28"/>
                <w:szCs w:val="28"/>
              </w:rPr>
            </w:pPr>
            <w:r>
              <w:rPr>
                <w:rFonts w:hint="eastAsia" w:ascii="仿宋_GB2312" w:hAnsi="Calibri" w:eastAsia="仿宋_GB2312" w:cs="ArialUnicodeMS"/>
                <w:kern w:val="0"/>
                <w:sz w:val="28"/>
                <w:szCs w:val="28"/>
              </w:rPr>
              <w:t>2、经费形式分为财政拨款、财政性资金基本保证、财政性资金定额或定项补助、财政性资金零补助四类。</w:t>
            </w:r>
          </w:p>
        </w:tc>
      </w:tr>
    </w:tbl>
    <w:p>
      <w:pPr>
        <w:widowControl/>
        <w:spacing w:after="160" w:line="58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我部门无二级预算单位，因此，怀来县新保安镇人民政府</w:t>
      </w:r>
      <w:r>
        <w:rPr>
          <w:rFonts w:ascii="仿宋_GB2312" w:hAnsi="Times New Roman" w:eastAsia="仿宋_GB2312" w:cs="Times New Roman"/>
          <w:sz w:val="32"/>
          <w:szCs w:val="32"/>
        </w:rPr>
        <w:t>2023</w:t>
      </w:r>
      <w:r>
        <w:rPr>
          <w:rFonts w:hint="eastAsia" w:ascii="仿宋_GB2312" w:hAnsi="Times New Roman" w:eastAsia="仿宋_GB2312" w:cs="Times New Roman"/>
          <w:sz w:val="32"/>
          <w:szCs w:val="32"/>
        </w:rPr>
        <w:t>年度部门决算即怀来县新保安镇人民政府本级</w:t>
      </w:r>
      <w:r>
        <w:rPr>
          <w:rFonts w:ascii="仿宋_GB2312" w:hAnsi="Times New Roman" w:eastAsia="仿宋_GB2312" w:cs="Times New Roman"/>
          <w:sz w:val="32"/>
          <w:szCs w:val="32"/>
        </w:rPr>
        <w:t>2023</w:t>
      </w:r>
      <w:r>
        <w:rPr>
          <w:rFonts w:hint="eastAsia" w:ascii="仿宋_GB2312" w:hAnsi="Times New Roman" w:eastAsia="仿宋_GB2312" w:cs="Times New Roman"/>
          <w:sz w:val="32"/>
          <w:szCs w:val="32"/>
        </w:rPr>
        <w:t>年度决算。</w:t>
      </w: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numPr>
          <w:ilvl w:val="0"/>
          <w:numId w:val="2"/>
        </w:numPr>
        <w:spacing w:after="312" w:afterLines="100" w:line="580" w:lineRule="exact"/>
        <w:ind w:left="1757"/>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2023年度部门决算表</w:t>
      </w:r>
    </w:p>
    <w:tbl>
      <w:tblPr>
        <w:tblStyle w:val="6"/>
        <w:tblW w:w="10260" w:type="dxa"/>
        <w:jc w:val="center"/>
        <w:tblLayout w:type="fixed"/>
        <w:tblCellMar>
          <w:top w:w="15" w:type="dxa"/>
          <w:left w:w="15" w:type="dxa"/>
          <w:bottom w:w="15" w:type="dxa"/>
          <w:right w:w="15" w:type="dxa"/>
        </w:tblCellMar>
      </w:tblPr>
      <w:tblGrid>
        <w:gridCol w:w="3490"/>
        <w:gridCol w:w="536"/>
        <w:gridCol w:w="26"/>
        <w:gridCol w:w="1324"/>
        <w:gridCol w:w="814"/>
        <w:gridCol w:w="2469"/>
        <w:gridCol w:w="502"/>
        <w:gridCol w:w="1099"/>
      </w:tblGrid>
      <w:tr>
        <w:tblPrEx>
          <w:tblCellMar>
            <w:top w:w="15" w:type="dxa"/>
            <w:left w:w="15" w:type="dxa"/>
            <w:bottom w:w="15" w:type="dxa"/>
            <w:right w:w="15" w:type="dxa"/>
          </w:tblCellMar>
        </w:tblPrEx>
        <w:trPr>
          <w:trHeight w:val="917" w:hRule="exact"/>
          <w:jc w:val="center"/>
        </w:trPr>
        <w:tc>
          <w:tcPr>
            <w:tcW w:w="10260" w:type="dxa"/>
            <w:gridSpan w:val="8"/>
            <w:tcBorders>
              <w:top w:val="nil"/>
              <w:left w:val="nil"/>
              <w:bottom w:val="nil"/>
              <w:right w:val="nil"/>
            </w:tcBorders>
            <w:shd w:val="clear" w:color="auto" w:fill="FFFFFF"/>
            <w:vAlign w:val="bottom"/>
          </w:tcPr>
          <w:p>
            <w:pPr>
              <w:widowControl/>
              <w:spacing w:line="500" w:lineRule="exact"/>
              <w:jc w:val="center"/>
              <w:textAlignment w:val="center"/>
              <w:rPr>
                <w:rFonts w:ascii="Times New Roman" w:hAnsi="Times New Roman" w:eastAsia="仿宋_GB2312"/>
                <w:b/>
                <w:bCs/>
                <w:sz w:val="36"/>
                <w:szCs w:val="36"/>
              </w:rPr>
            </w:pPr>
          </w:p>
          <w:p>
            <w:pPr>
              <w:widowControl/>
              <w:spacing w:line="500" w:lineRule="exact"/>
              <w:jc w:val="center"/>
              <w:textAlignment w:val="center"/>
              <w:rPr>
                <w:rFonts w:ascii="Times New Roman" w:hAnsi="Times New Roman" w:eastAsia="仿宋_GB2312"/>
                <w:b/>
                <w:bCs/>
                <w:sz w:val="36"/>
                <w:szCs w:val="36"/>
              </w:rPr>
            </w:pPr>
            <w:r>
              <w:rPr>
                <w:rFonts w:hint="eastAsia" w:ascii="Times New Roman" w:hAnsi="Times New Roman" w:eastAsia="仿宋_GB2312"/>
                <w:b/>
                <w:bCs/>
                <w:sz w:val="36"/>
                <w:szCs w:val="36"/>
              </w:rPr>
              <w:t>收入支出决算总表</w:t>
            </w:r>
          </w:p>
          <w:p>
            <w:pPr>
              <w:widowControl/>
              <w:jc w:val="center"/>
              <w:textAlignment w:val="center"/>
              <w:rPr>
                <w:rFonts w:ascii="Times New Roman" w:hAnsi="Times New Roman" w:eastAsia="仿宋_GB2312"/>
                <w:b/>
                <w:bCs/>
                <w:sz w:val="32"/>
                <w:szCs w:val="32"/>
              </w:rPr>
            </w:pPr>
          </w:p>
        </w:tc>
      </w:tr>
      <w:tr>
        <w:tblPrEx>
          <w:tblCellMar>
            <w:top w:w="15" w:type="dxa"/>
            <w:left w:w="15" w:type="dxa"/>
            <w:bottom w:w="15" w:type="dxa"/>
            <w:right w:w="15" w:type="dxa"/>
          </w:tblCellMar>
        </w:tblPrEx>
        <w:trPr>
          <w:trHeight w:val="358" w:hRule="exact"/>
          <w:jc w:val="center"/>
        </w:trPr>
        <w:tc>
          <w:tcPr>
            <w:tcW w:w="10260" w:type="dxa"/>
            <w:gridSpan w:val="8"/>
            <w:tcBorders>
              <w:top w:val="nil"/>
              <w:left w:val="nil"/>
              <w:bottom w:val="nil"/>
              <w:right w:val="nil"/>
            </w:tcBorders>
            <w:shd w:val="clear" w:color="auto" w:fill="FFFFFF"/>
            <w:vAlign w:val="center"/>
          </w:tcPr>
          <w:p>
            <w:pPr>
              <w:widowControl/>
              <w:jc w:val="right"/>
              <w:textAlignment w:val="center"/>
              <w:rPr>
                <w:rFonts w:ascii="宋体" w:hAnsi="宋体" w:eastAsia="宋体" w:cs="宋体"/>
                <w:color w:val="000000"/>
                <w:kern w:val="0"/>
                <w:sz w:val="22"/>
                <w:lang w:bidi="ar"/>
              </w:rPr>
            </w:pPr>
            <w:r>
              <w:rPr>
                <w:rFonts w:hint="eastAsia" w:ascii="宋体" w:hAnsi="宋体" w:eastAsia="宋体" w:cs="宋体"/>
                <w:color w:val="000000"/>
                <w:kern w:val="0"/>
                <w:sz w:val="20"/>
                <w:szCs w:val="20"/>
                <w:lang w:bidi="ar"/>
              </w:rPr>
              <w:t>公开01表</w:t>
            </w:r>
          </w:p>
        </w:tc>
      </w:tr>
      <w:tr>
        <w:tblPrEx>
          <w:tblCellMar>
            <w:top w:w="15" w:type="dxa"/>
            <w:left w:w="15" w:type="dxa"/>
            <w:bottom w:w="15" w:type="dxa"/>
            <w:right w:w="15" w:type="dxa"/>
          </w:tblCellMar>
        </w:tblPrEx>
        <w:trPr>
          <w:trHeight w:val="350" w:hRule="exact"/>
          <w:jc w:val="center"/>
        </w:trPr>
        <w:tc>
          <w:tcPr>
            <w:tcW w:w="4052" w:type="dxa"/>
            <w:gridSpan w:val="3"/>
            <w:tcBorders>
              <w:top w:val="nil"/>
              <w:left w:val="nil"/>
              <w:bottom w:val="single" w:color="auto" w:sz="4" w:space="0"/>
              <w:right w:val="nil"/>
            </w:tcBorders>
            <w:shd w:val="clear" w:color="auto" w:fill="FFFFFF"/>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rPr>
              <w:t>怀来县新保安镇人民政府</w:t>
            </w:r>
            <w:r>
              <w:rPr>
                <w:rFonts w:hint="eastAsia" w:ascii="宋体" w:hAnsi="宋体" w:eastAsia="宋体" w:cs="宋体"/>
                <w:color w:val="000000"/>
                <w:kern w:val="0"/>
                <w:sz w:val="20"/>
                <w:szCs w:val="20"/>
                <w:lang w:bidi="ar"/>
              </w:rPr>
              <w:t xml:space="preserve">                    </w:t>
            </w:r>
          </w:p>
        </w:tc>
        <w:tc>
          <w:tcPr>
            <w:tcW w:w="2138" w:type="dxa"/>
            <w:gridSpan w:val="2"/>
            <w:tcBorders>
              <w:top w:val="nil"/>
              <w:left w:val="nil"/>
              <w:bottom w:val="single" w:color="auto" w:sz="4" w:space="0"/>
              <w:right w:val="nil"/>
            </w:tcBorders>
            <w:shd w:val="clear" w:color="auto" w:fill="FFFFFF"/>
            <w:vAlign w:val="center"/>
          </w:tcPr>
          <w:p>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2023年度</w:t>
            </w:r>
          </w:p>
        </w:tc>
        <w:tc>
          <w:tcPr>
            <w:tcW w:w="4070" w:type="dxa"/>
            <w:gridSpan w:val="3"/>
            <w:tcBorders>
              <w:top w:val="nil"/>
              <w:left w:val="nil"/>
              <w:bottom w:val="single" w:color="auto" w:sz="4" w:space="0"/>
              <w:right w:val="nil"/>
            </w:tcBorders>
            <w:shd w:val="clear" w:color="auto" w:fill="FFFFFF"/>
            <w:vAlign w:val="center"/>
          </w:tcPr>
          <w:p>
            <w:pPr>
              <w:widowControl/>
              <w:jc w:val="righ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544" w:hRule="exact"/>
          <w:jc w:val="center"/>
        </w:trPr>
        <w:tc>
          <w:tcPr>
            <w:tcW w:w="5376"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4884"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tblPrEx>
          <w:tblCellMar>
            <w:top w:w="15" w:type="dxa"/>
            <w:left w:w="15" w:type="dxa"/>
            <w:bottom w:w="15" w:type="dxa"/>
            <w:right w:w="15" w:type="dxa"/>
          </w:tblCellMar>
        </w:tblPrEx>
        <w:trPr>
          <w:trHeight w:val="600"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24"/>
              </w:rPr>
            </w:pPr>
          </w:p>
        </w:tc>
        <w:tc>
          <w:tcPr>
            <w:tcW w:w="13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宋体" w:hAnsi="宋体" w:eastAsia="宋体" w:cs="宋体"/>
                <w:color w:val="000000"/>
                <w:sz w:val="24"/>
              </w:rPr>
            </w:pP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tblPrEx>
          <w:tblCellMar>
            <w:top w:w="15" w:type="dxa"/>
            <w:left w:w="15" w:type="dxa"/>
            <w:bottom w:w="15" w:type="dxa"/>
            <w:right w:w="15" w:type="dxa"/>
          </w:tblCellMar>
        </w:tblPrEx>
        <w:trPr>
          <w:trHeight w:val="474" w:hRule="exact"/>
          <w:jc w:val="center"/>
        </w:trPr>
        <w:tc>
          <w:tcPr>
            <w:tcW w:w="349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一、一般公共预算财政拨款收入</w:t>
            </w:r>
          </w:p>
        </w:tc>
        <w:tc>
          <w:tcPr>
            <w:tcW w:w="536"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1</w:t>
            </w:r>
          </w:p>
        </w:tc>
        <w:tc>
          <w:tcPr>
            <w:tcW w:w="1350"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3375.59</w:t>
            </w:r>
          </w:p>
        </w:tc>
        <w:tc>
          <w:tcPr>
            <w:tcW w:w="3283"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02"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32</w:t>
            </w:r>
          </w:p>
        </w:tc>
        <w:tc>
          <w:tcPr>
            <w:tcW w:w="1099" w:type="dxa"/>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921.19</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二、政府性基金预算财政拨款收入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二、外交支出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2"/>
              </w:rPr>
            </w:pPr>
            <w:r>
              <w:rPr>
                <w:rFonts w:hint="eastAsia"/>
              </w:rPr>
              <w:t>三、国有资本经营预算财政拨款收入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28.82</w:t>
            </w: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三、国防支出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四、上级补助收入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五、事业收入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五、教育支出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六、经营收入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七、附属单位上缴收入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rPr>
            </w:pPr>
            <w:r>
              <w:rPr>
                <w:rFonts w:hint="eastAsia"/>
              </w:rPr>
              <w:t>七、文化旅游体育与传媒支出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sz w:val="22"/>
              </w:rPr>
            </w:pPr>
            <w:r>
              <w:rPr>
                <w:rFonts w:hint="eastAsia"/>
              </w:rPr>
              <w:t>八、其他收入</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8</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2"/>
              </w:rPr>
            </w:pPr>
            <w:r>
              <w:rPr>
                <w:rFonts w:hint="eastAsia"/>
              </w:rPr>
              <w:t>八、社会保障和就业支出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九、卫生健康支出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40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十、节能环保支出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十一、城乡社区支出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十二、农林水支出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color w:val="000000"/>
                <w:sz w:val="22"/>
                <w:lang w:val="en-US" w:eastAsia="zh-CN"/>
              </w:rPr>
            </w:pPr>
            <w:r>
              <w:rPr>
                <w:rFonts w:hint="eastAsia" w:ascii="宋体" w:hAnsi="宋体" w:eastAsia="宋体" w:cs="宋体"/>
                <w:b w:val="0"/>
                <w:bCs/>
                <w:color w:val="000000"/>
                <w:sz w:val="22"/>
                <w:lang w:val="en-US" w:eastAsia="zh-CN"/>
              </w:rPr>
              <w:t>2137.47</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十三、交通运输支出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14</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十四、资源勘探工业信息等支出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十五、商业服务业等支出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16</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十六、金融支出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563"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3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十七、援助其他地区支出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bl>
    <w:p>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br w:type="page"/>
      </w:r>
    </w:p>
    <w:tbl>
      <w:tblPr>
        <w:tblStyle w:val="6"/>
        <w:tblW w:w="10260" w:type="dxa"/>
        <w:jc w:val="center"/>
        <w:tblLayout w:type="fixed"/>
        <w:tblCellMar>
          <w:top w:w="15" w:type="dxa"/>
          <w:left w:w="15" w:type="dxa"/>
          <w:bottom w:w="15" w:type="dxa"/>
          <w:right w:w="15" w:type="dxa"/>
        </w:tblCellMar>
      </w:tblPr>
      <w:tblGrid>
        <w:gridCol w:w="3490"/>
        <w:gridCol w:w="536"/>
        <w:gridCol w:w="1350"/>
        <w:gridCol w:w="3283"/>
        <w:gridCol w:w="502"/>
        <w:gridCol w:w="1099"/>
      </w:tblGrid>
      <w:tr>
        <w:tblPrEx>
          <w:tblCellMar>
            <w:top w:w="15" w:type="dxa"/>
            <w:left w:w="15" w:type="dxa"/>
            <w:bottom w:w="15" w:type="dxa"/>
            <w:right w:w="15" w:type="dxa"/>
          </w:tblCellMar>
        </w:tblPrEx>
        <w:trPr>
          <w:trHeight w:val="474" w:hRule="exact"/>
          <w:jc w:val="center"/>
        </w:trPr>
        <w:tc>
          <w:tcPr>
            <w:tcW w:w="53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收入</w:t>
            </w:r>
          </w:p>
        </w:tc>
        <w:tc>
          <w:tcPr>
            <w:tcW w:w="48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决算数</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十八、自然资源海洋气象等支出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49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十九、住房保障支出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二十、粮油物资储备支出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二十一、国有资本经营预算支出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65.65</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二十二、灾害防治及应急管理支出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53</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7.28</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二十三、其他支出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54</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二十四、债务还本支出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55</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二十五、债务付息支出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56</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二十六、抗疫特别国债安排的支出</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57</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本年收入合计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3404.41</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0"/>
                <w:szCs w:val="20"/>
              </w:rPr>
            </w:pPr>
            <w:r>
              <w:rPr>
                <w:rFonts w:hint="eastAsia"/>
                <w:b/>
                <w:bCs/>
              </w:rPr>
              <w:t>本年支出合计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58</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3131.60</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使用非财政拨款结余（含专用结余）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结余分配</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59</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年初结转和结余</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49.38</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r>
              <w:rPr>
                <w:rFonts w:hint="eastAsia"/>
              </w:rPr>
              <w:t>年末结转和结余</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60</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322.19</w:t>
            </w:r>
          </w:p>
        </w:tc>
      </w:tr>
      <w:tr>
        <w:tblPrEx>
          <w:tblCellMar>
            <w:top w:w="15" w:type="dxa"/>
            <w:left w:w="15" w:type="dxa"/>
            <w:bottom w:w="15" w:type="dxa"/>
            <w:right w:w="15" w:type="dxa"/>
          </w:tblCellMar>
        </w:tblPrEx>
        <w:trPr>
          <w:trHeight w:val="474"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val="0"/>
                <w:color w:val="000000"/>
                <w:sz w:val="22"/>
              </w:rPr>
            </w:pP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20"/>
                <w:szCs w:val="20"/>
              </w:rPr>
            </w:pP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61</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515" w:hRule="exact"/>
          <w:jc w:val="center"/>
        </w:trPr>
        <w:tc>
          <w:tcPr>
            <w:tcW w:w="34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31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val="0"/>
                <w:color w:val="000000"/>
                <w:sz w:val="22"/>
                <w:lang w:val="en-US" w:eastAsia="zh-CN"/>
              </w:rPr>
            </w:pPr>
            <w:r>
              <w:rPr>
                <w:rFonts w:hint="eastAsia" w:ascii="宋体" w:hAnsi="宋体" w:eastAsia="宋体" w:cs="宋体"/>
                <w:b w:val="0"/>
                <w:bCs w:val="0"/>
                <w:color w:val="000000"/>
                <w:sz w:val="22"/>
                <w:lang w:val="en-US" w:eastAsia="zh-CN"/>
              </w:rPr>
              <w:t>3453.79</w:t>
            </w:r>
          </w:p>
        </w:tc>
        <w:tc>
          <w:tcPr>
            <w:tcW w:w="32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22"/>
              </w:rPr>
            </w:pPr>
            <w:r>
              <w:rPr>
                <w:rFonts w:hint="eastAsia"/>
                <w:b/>
                <w:bCs/>
              </w:rPr>
              <w:t>总计</w:t>
            </w:r>
          </w:p>
        </w:tc>
        <w:tc>
          <w:tcPr>
            <w:tcW w:w="5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62</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3453.79</w:t>
            </w:r>
          </w:p>
        </w:tc>
      </w:tr>
    </w:tbl>
    <w:p>
      <w:pPr>
        <w:widowControl/>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注：1.本表反映部门本年度的总收支和年末结转结余情况。</w:t>
      </w:r>
    </w:p>
    <w:p>
      <w:pPr>
        <w:sectPr>
          <w:headerReference r:id="rId8" w:type="default"/>
          <w:pgSz w:w="11906" w:h="16838"/>
          <w:pgMar w:top="1474" w:right="1474" w:bottom="1474" w:left="1474" w:header="851" w:footer="992" w:gutter="0"/>
          <w:cols w:space="0" w:num="1"/>
          <w:docGrid w:type="lines" w:linePitch="312" w:charSpace="0"/>
        </w:sectPr>
      </w:pPr>
      <w:r>
        <w:rPr>
          <w:rFonts w:hint="eastAsia" w:ascii="宋体" w:hAnsi="宋体" w:eastAsia="宋体" w:cs="宋体"/>
          <w:color w:val="000000"/>
          <w:kern w:val="0"/>
          <w:sz w:val="24"/>
          <w:szCs w:val="24"/>
          <w:lang w:bidi="ar"/>
        </w:rPr>
        <w:t xml:space="preserve">    2.本套报表金额单位转换时可能存在尾数误差。</w:t>
      </w:r>
    </w:p>
    <w:tbl>
      <w:tblPr>
        <w:tblStyle w:val="6"/>
        <w:tblW w:w="10040" w:type="dxa"/>
        <w:jc w:val="center"/>
        <w:tblLayout w:type="fixed"/>
        <w:tblCellMar>
          <w:top w:w="15" w:type="dxa"/>
          <w:left w:w="15" w:type="dxa"/>
          <w:bottom w:w="15" w:type="dxa"/>
          <w:right w:w="15" w:type="dxa"/>
        </w:tblCellMar>
      </w:tblPr>
      <w:tblGrid>
        <w:gridCol w:w="793"/>
        <w:gridCol w:w="693"/>
        <w:gridCol w:w="1299"/>
        <w:gridCol w:w="1362"/>
        <w:gridCol w:w="982"/>
        <w:gridCol w:w="982"/>
        <w:gridCol w:w="982"/>
        <w:gridCol w:w="982"/>
        <w:gridCol w:w="982"/>
        <w:gridCol w:w="983"/>
      </w:tblGrid>
      <w:tr>
        <w:tblPrEx>
          <w:tblCellMar>
            <w:top w:w="15" w:type="dxa"/>
            <w:left w:w="15" w:type="dxa"/>
            <w:bottom w:w="15" w:type="dxa"/>
            <w:right w:w="15" w:type="dxa"/>
          </w:tblCellMar>
        </w:tblPrEx>
        <w:trPr>
          <w:trHeight w:val="666" w:hRule="atLeast"/>
          <w:jc w:val="center"/>
        </w:trPr>
        <w:tc>
          <w:tcPr>
            <w:tcW w:w="10040" w:type="dxa"/>
            <w:gridSpan w:val="10"/>
            <w:shd w:val="clear" w:color="auto" w:fill="auto"/>
            <w:vAlign w:val="center"/>
          </w:tcPr>
          <w:p>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收入决算表</w:t>
            </w:r>
          </w:p>
        </w:tc>
      </w:tr>
      <w:tr>
        <w:tblPrEx>
          <w:tblCellMar>
            <w:top w:w="15" w:type="dxa"/>
            <w:left w:w="15" w:type="dxa"/>
            <w:bottom w:w="15" w:type="dxa"/>
            <w:right w:w="15" w:type="dxa"/>
          </w:tblCellMar>
        </w:tblPrEx>
        <w:trPr>
          <w:trHeight w:val="348" w:hRule="atLeast"/>
          <w:jc w:val="center"/>
        </w:trPr>
        <w:tc>
          <w:tcPr>
            <w:tcW w:w="793" w:type="dxa"/>
            <w:shd w:val="clear" w:color="auto" w:fill="FFFFFF"/>
            <w:vAlign w:val="center"/>
          </w:tcPr>
          <w:p>
            <w:pPr>
              <w:jc w:val="right"/>
              <w:rPr>
                <w:rFonts w:ascii="宋体" w:hAnsi="宋体" w:eastAsia="宋体" w:cs="宋体"/>
                <w:color w:val="000000"/>
                <w:sz w:val="24"/>
              </w:rPr>
            </w:pPr>
          </w:p>
        </w:tc>
        <w:tc>
          <w:tcPr>
            <w:tcW w:w="693" w:type="dxa"/>
            <w:shd w:val="clear" w:color="auto" w:fill="FFFFFF"/>
            <w:vAlign w:val="center"/>
          </w:tcPr>
          <w:p>
            <w:pPr>
              <w:jc w:val="right"/>
              <w:rPr>
                <w:rFonts w:ascii="宋体" w:hAnsi="宋体" w:eastAsia="宋体" w:cs="宋体"/>
                <w:color w:val="000000"/>
                <w:sz w:val="24"/>
              </w:rPr>
            </w:pPr>
          </w:p>
        </w:tc>
        <w:tc>
          <w:tcPr>
            <w:tcW w:w="1299" w:type="dxa"/>
            <w:shd w:val="clear" w:color="auto" w:fill="FFFFFF"/>
            <w:vAlign w:val="center"/>
          </w:tcPr>
          <w:p>
            <w:pPr>
              <w:jc w:val="right"/>
              <w:rPr>
                <w:rFonts w:ascii="宋体" w:hAnsi="宋体" w:eastAsia="宋体" w:cs="宋体"/>
                <w:color w:val="000000"/>
                <w:sz w:val="24"/>
              </w:rPr>
            </w:pPr>
          </w:p>
        </w:tc>
        <w:tc>
          <w:tcPr>
            <w:tcW w:w="136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3"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15" w:type="dxa"/>
            <w:left w:w="15" w:type="dxa"/>
            <w:bottom w:w="15" w:type="dxa"/>
            <w:right w:w="15" w:type="dxa"/>
          </w:tblCellMar>
        </w:tblPrEx>
        <w:trPr>
          <w:trHeight w:val="348" w:hRule="atLeast"/>
          <w:jc w:val="center"/>
        </w:trPr>
        <w:tc>
          <w:tcPr>
            <w:tcW w:w="2785" w:type="dxa"/>
            <w:gridSpan w:val="3"/>
            <w:shd w:val="clear" w:color="auto" w:fill="FFFFFF"/>
            <w:vAlign w:val="center"/>
          </w:tcPr>
          <w:p>
            <w:pPr>
              <w:jc w:val="left"/>
              <w:rPr>
                <w:rFonts w:ascii="宋体" w:hAnsi="宋体" w:eastAsia="宋体" w:cs="宋体"/>
                <w:color w:val="000000"/>
                <w:sz w:val="24"/>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rPr>
              <w:t>怀来县新保安镇人民政府</w:t>
            </w:r>
          </w:p>
        </w:tc>
        <w:tc>
          <w:tcPr>
            <w:tcW w:w="1362" w:type="dxa"/>
            <w:shd w:val="clear" w:color="auto" w:fill="FFFFFF"/>
            <w:vAlign w:val="center"/>
          </w:tcPr>
          <w:p>
            <w:pPr>
              <w:jc w:val="right"/>
              <w:rPr>
                <w:rFonts w:ascii="宋体" w:hAnsi="宋体" w:eastAsia="宋体" w:cs="宋体"/>
                <w:color w:val="000000"/>
                <w:sz w:val="24"/>
              </w:rPr>
            </w:pPr>
          </w:p>
        </w:tc>
        <w:tc>
          <w:tcPr>
            <w:tcW w:w="1964" w:type="dxa"/>
            <w:gridSpan w:val="2"/>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sz w:val="24"/>
                <w:szCs w:val="24"/>
              </w:rPr>
              <w:t>2023年度</w:t>
            </w: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2" w:type="dxa"/>
            <w:shd w:val="clear" w:color="auto" w:fill="FFFFFF"/>
            <w:vAlign w:val="center"/>
          </w:tcPr>
          <w:p>
            <w:pPr>
              <w:jc w:val="right"/>
              <w:rPr>
                <w:rFonts w:ascii="宋体" w:hAnsi="宋体" w:eastAsia="宋体" w:cs="宋体"/>
                <w:color w:val="000000"/>
                <w:sz w:val="24"/>
              </w:rPr>
            </w:pPr>
          </w:p>
        </w:tc>
        <w:tc>
          <w:tcPr>
            <w:tcW w:w="983"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99"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13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本年收入合计</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财政拨款收入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上级补助收入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事业收入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经营收入</w:t>
            </w:r>
          </w:p>
        </w:tc>
        <w:tc>
          <w:tcPr>
            <w:tcW w:w="9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附属单位上缴收入</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其他收入</w:t>
            </w:r>
          </w:p>
        </w:tc>
      </w:tr>
      <w:tr>
        <w:tblPrEx>
          <w:tblCellMar>
            <w:top w:w="15" w:type="dxa"/>
            <w:left w:w="15" w:type="dxa"/>
            <w:bottom w:w="15" w:type="dxa"/>
            <w:right w:w="15" w:type="dxa"/>
          </w:tblCellMar>
        </w:tblPrEx>
        <w:trPr>
          <w:trHeight w:val="499" w:hRule="atLeast"/>
          <w:jc w:val="center"/>
        </w:trPr>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3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9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3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9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c>
          <w:tcPr>
            <w:tcW w:w="9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7</w:t>
            </w:r>
          </w:p>
        </w:tc>
      </w:tr>
      <w:tr>
        <w:tblPrEx>
          <w:tblCellMar>
            <w:top w:w="15" w:type="dxa"/>
            <w:left w:w="15" w:type="dxa"/>
            <w:bottom w:w="15" w:type="dxa"/>
            <w:right w:w="15" w:type="dxa"/>
          </w:tblCellMar>
        </w:tblPrEx>
        <w:trPr>
          <w:trHeight w:val="499" w:hRule="atLeast"/>
          <w:jc w:val="center"/>
        </w:trPr>
        <w:tc>
          <w:tcPr>
            <w:tcW w:w="27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3404.41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3404.41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一般公共服务支出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政府办公厅（室）及相关机构事务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行政运行</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96.53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节能环保支出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污染防治</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r>
              <w:rPr>
                <w:rFonts w:hint="eastAsia" w:ascii="宋体" w:hAnsi="宋体"/>
                <w:color w:val="000000"/>
                <w:sz w:val="20"/>
                <w:szCs w:val="20"/>
                <w:lang w:val="en-US" w:eastAsia="zh-CN"/>
              </w:rPr>
              <w:t>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大气</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250.36</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农林水支出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2152.61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2152.61</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农业农村</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164.60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164.60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2130119</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olor w:val="000000"/>
                <w:sz w:val="20"/>
                <w:szCs w:val="20"/>
                <w:lang w:val="en-US" w:eastAsia="zh-CN"/>
              </w:rPr>
            </w:pPr>
            <w:r>
              <w:rPr>
                <w:rFonts w:hint="eastAsia" w:ascii="宋体" w:hAnsi="宋体"/>
                <w:color w:val="000000"/>
                <w:sz w:val="20"/>
                <w:szCs w:val="20"/>
                <w:lang w:val="en-US" w:eastAsia="zh-CN"/>
              </w:rPr>
              <w:t>防灾救灾</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2130122</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农业生产发展</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150.77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150.77</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21302</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林业和草原</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530.13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530.13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2130205</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森林资源培育</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500.13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2130234</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林业草原防灾救灾</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30.00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水利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2130314</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防汛</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2130399</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其他水利支出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10.02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21305</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巩固脱贫攻坚成果衔接乡村振兴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260.53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2130599</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color w:val="000000"/>
                <w:sz w:val="20"/>
                <w:szCs w:val="20"/>
                <w:lang w:val="en-US"/>
              </w:rPr>
            </w:pPr>
            <w:r>
              <w:rPr>
                <w:rFonts w:hint="eastAsia" w:ascii="宋体" w:hAnsi="宋体"/>
                <w:color w:val="000000"/>
                <w:sz w:val="20"/>
                <w:szCs w:val="20"/>
                <w:lang w:val="en-US" w:eastAsia="zh-CN"/>
              </w:rPr>
              <w:t>其他巩固脱贫攻坚成果衔接乡村振兴支持</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260.53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农村综合改革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1182.32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1182.32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对村级公益事业建设的补助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164.00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164.00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2130705</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对村民委员会和村党支部的补助</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352.23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352.23</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2130799</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其他农村综合改革支出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666.10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666.10</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国有资本经营预算支出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解决历史遗留问题及改革成本支出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2230105</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国有企业退休人员社会化管理补助支出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28.82</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灾害防治及应急管理支出</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99"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森林消防事务</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677" w:hRule="atLeast"/>
          <w:jc w:val="center"/>
        </w:trPr>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2240304</w:t>
            </w:r>
          </w:p>
        </w:tc>
        <w:tc>
          <w:tcPr>
            <w:tcW w:w="12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森林消防应急救援</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657" w:hRule="atLeast"/>
          <w:jc w:val="center"/>
        </w:trPr>
        <w:tc>
          <w:tcPr>
            <w:tcW w:w="10040"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注：本表反映部门本年度取得的各项收入情况。</w:t>
            </w:r>
          </w:p>
        </w:tc>
      </w:tr>
    </w:tbl>
    <w:p>
      <w:pPr>
        <w:sectPr>
          <w:pgSz w:w="11906" w:h="16838"/>
          <w:pgMar w:top="1474" w:right="1474" w:bottom="1474" w:left="1474" w:header="851" w:footer="992" w:gutter="0"/>
          <w:cols w:space="0" w:num="1"/>
          <w:docGrid w:type="lines" w:linePitch="312" w:charSpace="0"/>
        </w:sectPr>
      </w:pPr>
    </w:p>
    <w:tbl>
      <w:tblPr>
        <w:tblStyle w:val="6"/>
        <w:tblW w:w="0" w:type="auto"/>
        <w:jc w:val="center"/>
        <w:tblLayout w:type="autofit"/>
        <w:tblCellMar>
          <w:top w:w="15" w:type="dxa"/>
          <w:left w:w="15" w:type="dxa"/>
          <w:bottom w:w="15" w:type="dxa"/>
          <w:right w:w="15" w:type="dxa"/>
        </w:tblCellMar>
      </w:tblPr>
      <w:tblGrid>
        <w:gridCol w:w="1573"/>
        <w:gridCol w:w="1298"/>
        <w:gridCol w:w="626"/>
        <w:gridCol w:w="603"/>
        <w:gridCol w:w="528"/>
        <w:gridCol w:w="777"/>
        <w:gridCol w:w="78"/>
        <w:gridCol w:w="923"/>
        <w:gridCol w:w="791"/>
        <w:gridCol w:w="689"/>
        <w:gridCol w:w="1102"/>
      </w:tblGrid>
      <w:tr>
        <w:tblPrEx>
          <w:tblCellMar>
            <w:top w:w="15" w:type="dxa"/>
            <w:left w:w="15" w:type="dxa"/>
            <w:bottom w:w="15" w:type="dxa"/>
            <w:right w:w="15" w:type="dxa"/>
          </w:tblCellMar>
        </w:tblPrEx>
        <w:trPr>
          <w:trHeight w:val="435" w:hRule="atLeast"/>
          <w:jc w:val="center"/>
        </w:trPr>
        <w:tc>
          <w:tcPr>
            <w:tcW w:w="0" w:type="auto"/>
            <w:gridSpan w:val="11"/>
            <w:shd w:val="clear" w:color="auto" w:fill="auto"/>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b/>
                <w:bCs/>
                <w:color w:val="000000"/>
                <w:kern w:val="0"/>
                <w:sz w:val="32"/>
                <w:szCs w:val="32"/>
                <w:lang w:bidi="ar"/>
              </w:rPr>
              <w:t>支出决算表</w:t>
            </w:r>
          </w:p>
        </w:tc>
      </w:tr>
      <w:tr>
        <w:tblPrEx>
          <w:tblCellMar>
            <w:top w:w="15" w:type="dxa"/>
            <w:left w:w="15" w:type="dxa"/>
            <w:bottom w:w="15" w:type="dxa"/>
            <w:right w:w="15" w:type="dxa"/>
          </w:tblCellMar>
        </w:tblPrEx>
        <w:trPr>
          <w:trHeight w:val="286" w:hRule="atLeast"/>
          <w:jc w:val="center"/>
        </w:trPr>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jc w:val="right"/>
              <w:rPr>
                <w:rFonts w:ascii="宋体" w:hAnsi="宋体" w:eastAsia="宋体" w:cs="宋体"/>
                <w:color w:val="000000"/>
                <w:sz w:val="24"/>
              </w:rPr>
            </w:pPr>
          </w:p>
        </w:tc>
        <w:tc>
          <w:tcPr>
            <w:tcW w:w="0" w:type="auto"/>
            <w:gridSpan w:val="2"/>
            <w:shd w:val="clear" w:color="auto" w:fill="FFFFFF"/>
            <w:vAlign w:val="center"/>
          </w:tcPr>
          <w:p>
            <w:pPr>
              <w:jc w:val="right"/>
              <w:rPr>
                <w:rFonts w:ascii="宋体" w:hAnsi="宋体" w:eastAsia="宋体" w:cs="宋体"/>
                <w:color w:val="000000"/>
                <w:sz w:val="24"/>
              </w:rPr>
            </w:pPr>
          </w:p>
        </w:tc>
        <w:tc>
          <w:tcPr>
            <w:tcW w:w="0" w:type="auto"/>
            <w:gridSpan w:val="2"/>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15" w:type="dxa"/>
            <w:left w:w="15" w:type="dxa"/>
            <w:bottom w:w="15" w:type="dxa"/>
            <w:right w:w="15" w:type="dxa"/>
          </w:tblCellMar>
        </w:tblPrEx>
        <w:trPr>
          <w:gridAfter w:val="1"/>
          <w:wAfter w:w="0" w:type="auto"/>
          <w:trHeight w:val="286" w:hRule="atLeast"/>
          <w:jc w:val="center"/>
        </w:trPr>
        <w:tc>
          <w:tcPr>
            <w:tcW w:w="0" w:type="auto"/>
            <w:gridSpan w:val="3"/>
            <w:shd w:val="clear" w:color="auto" w:fill="FFFFFF"/>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rPr>
              <w:t xml:space="preserve">：怀来县新保安镇人民政府 </w:t>
            </w:r>
            <w:r>
              <w:rPr>
                <w:rFonts w:ascii="宋体" w:hAnsi="宋体" w:eastAsia="宋体" w:cs="宋体"/>
                <w:color w:val="000000"/>
                <w:kern w:val="0"/>
                <w:sz w:val="20"/>
                <w:szCs w:val="20"/>
              </w:rPr>
              <w:t xml:space="preserve">   </w:t>
            </w:r>
            <w:r>
              <w:rPr>
                <w:rFonts w:hint="eastAsia" w:ascii="宋体" w:hAnsi="宋体" w:eastAsia="宋体" w:cs="宋体"/>
                <w:color w:val="000000"/>
                <w:sz w:val="24"/>
                <w:szCs w:val="24"/>
              </w:rPr>
              <w:t xml:space="preserve"> </w:t>
            </w:r>
          </w:p>
        </w:tc>
        <w:tc>
          <w:tcPr>
            <w:tcW w:w="0" w:type="auto"/>
            <w:gridSpan w:val="3"/>
            <w:shd w:val="clear" w:color="auto" w:fill="FFFFFF"/>
            <w:vAlign w:val="center"/>
          </w:tcPr>
          <w:p>
            <w:pPr>
              <w:rPr>
                <w:rFonts w:ascii="宋体" w:hAnsi="宋体" w:eastAsia="宋体" w:cs="宋体"/>
                <w:color w:val="000000"/>
                <w:sz w:val="24"/>
              </w:rPr>
            </w:pPr>
            <w:r>
              <w:rPr>
                <w:rFonts w:hint="eastAsia" w:ascii="宋体" w:hAnsi="宋体" w:eastAsia="宋体" w:cs="宋体"/>
                <w:color w:val="000000"/>
                <w:sz w:val="24"/>
                <w:szCs w:val="24"/>
              </w:rPr>
              <w:t>2023年度</w:t>
            </w:r>
          </w:p>
        </w:tc>
        <w:tc>
          <w:tcPr>
            <w:tcW w:w="0" w:type="auto"/>
            <w:shd w:val="clear" w:color="auto" w:fill="FFFFFF"/>
            <w:vAlign w:val="center"/>
          </w:tcPr>
          <w:p>
            <w:pPr>
              <w:rPr>
                <w:rFonts w:hint="eastAsia" w:ascii="宋体" w:hAnsi="宋体" w:eastAsia="宋体" w:cs="宋体"/>
                <w:color w:val="000000"/>
                <w:sz w:val="20"/>
                <w:szCs w:val="20"/>
              </w:rPr>
            </w:pPr>
          </w:p>
        </w:tc>
        <w:tc>
          <w:tcPr>
            <w:tcW w:w="0" w:type="auto"/>
            <w:shd w:val="clear" w:color="auto" w:fill="FFFFFF"/>
            <w:vAlign w:val="center"/>
          </w:tcPr>
          <w:p>
            <w:pPr>
              <w:jc w:val="right"/>
              <w:rPr>
                <w:rFonts w:ascii="宋体" w:hAnsi="宋体" w:eastAsia="宋体" w:cs="宋体"/>
                <w:color w:val="000000"/>
                <w:sz w:val="24"/>
              </w:rPr>
            </w:pPr>
          </w:p>
        </w:tc>
        <w:tc>
          <w:tcPr>
            <w:tcW w:w="0" w:type="auto"/>
            <w:shd w:val="clear" w:color="auto" w:fill="FFFFFF"/>
            <w:vAlign w:val="center"/>
          </w:tcPr>
          <w:p>
            <w:pPr>
              <w:ind w:right="960"/>
              <w:rPr>
                <w:rFonts w:hint="eastAsia" w:ascii="宋体" w:hAnsi="宋体" w:eastAsia="宋体" w:cs="宋体"/>
                <w:color w:val="000000"/>
                <w:sz w:val="24"/>
              </w:rPr>
            </w:pPr>
          </w:p>
        </w:tc>
        <w:tc>
          <w:tcPr>
            <w:tcW w:w="0" w:type="auto"/>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本年支出合计</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基本支出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上缴上级支出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经营支出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对附属单位补助支出</w:t>
            </w:r>
          </w:p>
        </w:tc>
      </w:tr>
      <w:tr>
        <w:tblPrEx>
          <w:tblCellMar>
            <w:top w:w="15" w:type="dxa"/>
            <w:left w:w="15" w:type="dxa"/>
            <w:bottom w:w="15" w:type="dxa"/>
            <w:right w:w="15" w:type="dxa"/>
          </w:tblCellMar>
        </w:tblPrEx>
        <w:trPr>
          <w:trHeight w:val="45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4"/>
              </w:rPr>
            </w:pPr>
          </w:p>
        </w:tc>
      </w:tr>
      <w:tr>
        <w:tblPrEx>
          <w:tblCellMar>
            <w:top w:w="15" w:type="dxa"/>
            <w:left w:w="15" w:type="dxa"/>
            <w:bottom w:w="15" w:type="dxa"/>
            <w:right w:w="15" w:type="dxa"/>
          </w:tblCellMar>
        </w:tblPrEx>
        <w:trPr>
          <w:trHeight w:val="45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671"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3131.60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lang w:val="en-US" w:eastAsia="zh-CN"/>
              </w:rPr>
              <w:t>921.19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rPr>
                <w:rFonts w:hint="eastAsia" w:ascii="宋体" w:hAnsi="宋体" w:eastAsia="宋体" w:cs="宋体"/>
                <w:color w:val="000000"/>
                <w:kern w:val="0"/>
                <w:sz w:val="24"/>
                <w:szCs w:val="24"/>
                <w:lang w:val="en-US" w:eastAsia="zh-CN" w:bidi="ar"/>
              </w:rPr>
            </w:pPr>
          </w:p>
          <w:p>
            <w:pPr>
              <w:keepNext w:val="0"/>
              <w:keepLines w:val="0"/>
              <w:widowControl/>
              <w:suppressLineNumbers w:val="0"/>
              <w:jc w:val="center"/>
              <w:rPr>
                <w:sz w:val="24"/>
                <w:szCs w:val="24"/>
              </w:rPr>
            </w:pPr>
            <w:r>
              <w:rPr>
                <w:rFonts w:hint="eastAsia" w:ascii="宋体" w:hAnsi="宋体" w:eastAsia="宋体" w:cs="宋体"/>
                <w:color w:val="000000"/>
                <w:kern w:val="0"/>
                <w:sz w:val="24"/>
                <w:szCs w:val="24"/>
                <w:lang w:val="en-US" w:eastAsia="zh-CN" w:bidi="ar"/>
              </w:rPr>
              <w:t>2210.41</w:t>
            </w:r>
          </w:p>
          <w:p>
            <w:pPr>
              <w:jc w:val="center"/>
              <w:rPr>
                <w:rFonts w:hint="default" w:ascii="宋体" w:hAnsi="宋体" w:eastAsia="宋体" w:cs="宋体"/>
                <w:color w:val="000000"/>
                <w:sz w:val="24"/>
                <w:szCs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一般公共服务支出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政府办公厅（室）及相关机构事务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行政运行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921.19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节能环保支出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污染防治</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r>
              <w:rPr>
                <w:rFonts w:hint="eastAsia" w:ascii="宋体" w:hAnsi="宋体"/>
                <w:color w:val="000000"/>
                <w:sz w:val="20"/>
                <w:szCs w:val="20"/>
                <w:lang w:val="en-US" w:eastAsia="zh-CN"/>
              </w:rPr>
              <w:t>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大气</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2"/>
                <w:sz w:val="24"/>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农林水支出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2137.47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2137.47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农业农村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164.60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164.60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2130119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防灾救灾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13.82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农业生产发展</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150.77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林业和草原</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530.13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530.13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森林资源培育</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2130234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林业草原防灾救灾</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水利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防汛</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5.00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其他水利支出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10.02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10.02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巩固脱贫攻坚成果衔接乡村振兴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260.53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7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2130599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其他巩固脱贫攻坚成果衔接乡村振兴支持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260.53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农村综合改革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1167.18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1167.18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对村级公益事业建设的补助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157.71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157.71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对村民委员会和村党支部的补助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351.07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351.07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2130799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其他农村综合改革支出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658.39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658.39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国有资本经营预算支出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解决历史遗留问题及改革成本支出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2230105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国有企业退休人员社会化管理补助支出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65.65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灾害防治及应急管理支出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森林消防事务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森林消防应急救援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7.28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eastAsia="宋体" w:cs="宋体"/>
                <w:color w:val="000000"/>
                <w:sz w:val="24"/>
              </w:rPr>
            </w:pPr>
          </w:p>
        </w:tc>
      </w:tr>
      <w:tr>
        <w:tblPrEx>
          <w:tblCellMar>
            <w:top w:w="15" w:type="dxa"/>
            <w:left w:w="15" w:type="dxa"/>
            <w:bottom w:w="15" w:type="dxa"/>
            <w:right w:w="15" w:type="dxa"/>
          </w:tblCellMar>
        </w:tblPrEx>
        <w:trPr>
          <w:trHeight w:val="630" w:hRule="atLeast"/>
          <w:jc w:val="center"/>
        </w:trPr>
        <w:tc>
          <w:tcPr>
            <w:tcW w:w="0" w:type="auto"/>
            <w:gridSpan w:val="11"/>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注：本表反映部门本年度各项支出情况。</w:t>
            </w:r>
          </w:p>
        </w:tc>
      </w:tr>
    </w:tbl>
    <w:p>
      <w:pPr>
        <w:sectPr>
          <w:pgSz w:w="11906" w:h="16838"/>
          <w:pgMar w:top="1474" w:right="1474" w:bottom="1474" w:left="1474" w:header="851" w:footer="992" w:gutter="0"/>
          <w:cols w:space="0" w:num="1"/>
          <w:docGrid w:type="lines" w:linePitch="312" w:charSpace="0"/>
        </w:sectPr>
      </w:pPr>
    </w:p>
    <w:tbl>
      <w:tblPr>
        <w:tblStyle w:val="6"/>
        <w:tblW w:w="10420" w:type="dxa"/>
        <w:jc w:val="center"/>
        <w:tblLayout w:type="fixed"/>
        <w:tblCellMar>
          <w:top w:w="15" w:type="dxa"/>
          <w:left w:w="15" w:type="dxa"/>
          <w:bottom w:w="15" w:type="dxa"/>
          <w:right w:w="15" w:type="dxa"/>
        </w:tblCellMar>
      </w:tblPr>
      <w:tblGrid>
        <w:gridCol w:w="2390"/>
        <w:gridCol w:w="586"/>
        <w:gridCol w:w="1049"/>
        <w:gridCol w:w="2258"/>
        <w:gridCol w:w="494"/>
        <w:gridCol w:w="670"/>
        <w:gridCol w:w="89"/>
        <w:gridCol w:w="960"/>
        <w:gridCol w:w="960"/>
        <w:gridCol w:w="964"/>
      </w:tblGrid>
      <w:tr>
        <w:tblPrEx>
          <w:tblCellMar>
            <w:top w:w="15" w:type="dxa"/>
            <w:left w:w="15" w:type="dxa"/>
            <w:bottom w:w="15" w:type="dxa"/>
            <w:right w:w="15" w:type="dxa"/>
          </w:tblCellMar>
        </w:tblPrEx>
        <w:trPr>
          <w:trHeight w:val="1069" w:hRule="atLeast"/>
          <w:jc w:val="center"/>
        </w:trPr>
        <w:tc>
          <w:tcPr>
            <w:tcW w:w="10420" w:type="dxa"/>
            <w:gridSpan w:val="10"/>
            <w:tcBorders>
              <w:top w:val="nil"/>
              <w:left w:val="nil"/>
              <w:bottom w:val="nil"/>
              <w:right w:val="nil"/>
            </w:tcBorders>
            <w:shd w:val="clear" w:color="auto" w:fill="FFFFFF"/>
            <w:vAlign w:val="bottom"/>
          </w:tcPr>
          <w:p>
            <w:pPr>
              <w:widowControl/>
              <w:ind w:firstLine="3524" w:firstLineChars="1100"/>
              <w:textAlignment w:val="center"/>
              <w:rPr>
                <w:rFonts w:ascii="宋体" w:hAnsi="宋体" w:eastAsia="宋体" w:cs="宋体"/>
                <w:color w:val="000000"/>
                <w:kern w:val="0"/>
                <w:sz w:val="24"/>
                <w:szCs w:val="24"/>
                <w:lang w:bidi="ar"/>
              </w:rPr>
            </w:pPr>
            <w:r>
              <w:rPr>
                <w:rFonts w:hint="eastAsia" w:ascii="华文中宋" w:hAnsi="华文中宋" w:eastAsia="华文中宋" w:cs="华文中宋"/>
                <w:b/>
                <w:bCs/>
                <w:color w:val="000000"/>
                <w:kern w:val="0"/>
                <w:sz w:val="32"/>
                <w:szCs w:val="32"/>
                <w:lang w:bidi="ar"/>
              </w:rPr>
              <w:t>财政拨款收入支出决算总表</w:t>
            </w:r>
          </w:p>
        </w:tc>
      </w:tr>
      <w:tr>
        <w:tblPrEx>
          <w:tblCellMar>
            <w:top w:w="15" w:type="dxa"/>
            <w:left w:w="15" w:type="dxa"/>
            <w:bottom w:w="15" w:type="dxa"/>
            <w:right w:w="15" w:type="dxa"/>
          </w:tblCellMar>
        </w:tblPrEx>
        <w:trPr>
          <w:trHeight w:val="347" w:hRule="atLeast"/>
          <w:jc w:val="center"/>
        </w:trPr>
        <w:tc>
          <w:tcPr>
            <w:tcW w:w="4025" w:type="dxa"/>
            <w:gridSpan w:val="3"/>
            <w:tcBorders>
              <w:top w:val="nil"/>
              <w:left w:val="nil"/>
              <w:bottom w:val="nil"/>
              <w:right w:val="nil"/>
            </w:tcBorders>
            <w:shd w:val="clear" w:color="auto" w:fill="FFFFFF"/>
            <w:vAlign w:val="center"/>
          </w:tcPr>
          <w:p>
            <w:pPr>
              <w:widowControl/>
              <w:jc w:val="right"/>
              <w:textAlignment w:val="center"/>
              <w:rPr>
                <w:rFonts w:ascii="宋体" w:hAnsi="宋体" w:eastAsia="宋体" w:cs="宋体"/>
                <w:color w:val="000000"/>
                <w:kern w:val="0"/>
                <w:sz w:val="24"/>
                <w:szCs w:val="24"/>
                <w:lang w:bidi="ar"/>
              </w:rPr>
            </w:pPr>
          </w:p>
        </w:tc>
        <w:tc>
          <w:tcPr>
            <w:tcW w:w="6395" w:type="dxa"/>
            <w:gridSpan w:val="7"/>
            <w:tcBorders>
              <w:top w:val="nil"/>
              <w:left w:val="nil"/>
              <w:bottom w:val="nil"/>
              <w:right w:val="nil"/>
            </w:tcBorders>
            <w:shd w:val="clear" w:color="auto" w:fill="FFFFFF"/>
            <w:vAlign w:val="center"/>
          </w:tcPr>
          <w:p>
            <w:pPr>
              <w:widowControl/>
              <w:jc w:val="righ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0"/>
                <w:szCs w:val="20"/>
                <w:lang w:bidi="ar"/>
              </w:rPr>
              <w:t>公开04表</w:t>
            </w:r>
          </w:p>
        </w:tc>
      </w:tr>
      <w:tr>
        <w:tblPrEx>
          <w:tblCellMar>
            <w:top w:w="15" w:type="dxa"/>
            <w:left w:w="15" w:type="dxa"/>
            <w:bottom w:w="15" w:type="dxa"/>
            <w:right w:w="15" w:type="dxa"/>
          </w:tblCellMar>
        </w:tblPrEx>
        <w:trPr>
          <w:trHeight w:val="388" w:hRule="atLeast"/>
          <w:jc w:val="center"/>
        </w:trPr>
        <w:tc>
          <w:tcPr>
            <w:tcW w:w="4025" w:type="dxa"/>
            <w:gridSpan w:val="3"/>
            <w:tcBorders>
              <w:top w:val="nil"/>
              <w:left w:val="nil"/>
              <w:bottom w:val="nil"/>
              <w:right w:val="nil"/>
            </w:tcBorders>
            <w:shd w:val="clear" w:color="auto" w:fill="FFFFFF"/>
            <w:vAlign w:val="center"/>
          </w:tcPr>
          <w:p>
            <w:pPr>
              <w:widowControl/>
              <w:jc w:val="left"/>
              <w:textAlignment w:val="center"/>
            </w:pPr>
            <w:r>
              <w:rPr>
                <w:rFonts w:hint="eastAsia" w:ascii="宋体" w:hAnsi="宋体" w:eastAsia="宋体" w:cs="宋体"/>
                <w:color w:val="000000"/>
                <w:kern w:val="0"/>
                <w:sz w:val="20"/>
                <w:szCs w:val="20"/>
                <w:lang w:bidi="ar"/>
              </w:rPr>
              <w:t xml:space="preserve">部门： </w:t>
            </w:r>
            <w:r>
              <w:rPr>
                <w:rFonts w:hint="eastAsia" w:ascii="宋体" w:hAnsi="宋体" w:eastAsia="宋体" w:cs="宋体"/>
                <w:color w:val="000000"/>
                <w:kern w:val="0"/>
                <w:sz w:val="20"/>
                <w:szCs w:val="20"/>
              </w:rPr>
              <w:t>怀来县新保安镇人民政府</w:t>
            </w:r>
            <w:r>
              <w:rPr>
                <w:rFonts w:hint="eastAsia" w:ascii="宋体" w:hAnsi="宋体" w:eastAsia="宋体" w:cs="宋体"/>
                <w:color w:val="000000"/>
                <w:kern w:val="0"/>
                <w:sz w:val="20"/>
                <w:szCs w:val="20"/>
                <w:lang w:bidi="ar"/>
              </w:rPr>
              <w:t xml:space="preserve">                   </w:t>
            </w:r>
          </w:p>
        </w:tc>
        <w:tc>
          <w:tcPr>
            <w:tcW w:w="3422" w:type="dxa"/>
            <w:gridSpan w:val="3"/>
            <w:tcBorders>
              <w:top w:val="nil"/>
              <w:left w:val="nil"/>
              <w:bottom w:val="nil"/>
              <w:right w:val="nil"/>
            </w:tcBorders>
            <w:shd w:val="clear" w:color="auto" w:fill="FFFFFF"/>
            <w:vAlign w:val="center"/>
          </w:tcPr>
          <w:p>
            <w:pPr>
              <w:widowControl/>
              <w:jc w:val="left"/>
              <w:textAlignment w:val="center"/>
            </w:pPr>
            <w:r>
              <w:rPr>
                <w:rFonts w:hint="eastAsia" w:ascii="宋体" w:hAnsi="宋体" w:eastAsia="宋体" w:cs="宋体"/>
                <w:color w:val="000000"/>
                <w:kern w:val="0"/>
                <w:sz w:val="20"/>
                <w:szCs w:val="20"/>
                <w:lang w:bidi="ar"/>
              </w:rPr>
              <w:t xml:space="preserve">                         2023年度</w:t>
            </w:r>
          </w:p>
        </w:tc>
        <w:tc>
          <w:tcPr>
            <w:tcW w:w="2973" w:type="dxa"/>
            <w:gridSpan w:val="4"/>
            <w:tcBorders>
              <w:top w:val="nil"/>
              <w:left w:val="nil"/>
              <w:bottom w:val="nil"/>
              <w:right w:val="nil"/>
            </w:tcBorders>
            <w:shd w:val="clear" w:color="auto" w:fill="FFFFFF"/>
            <w:vAlign w:val="center"/>
          </w:tcPr>
          <w:p>
            <w:pPr>
              <w:widowControl/>
              <w:jc w:val="right"/>
              <w:textAlignment w:val="cente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535" w:hRule="atLeast"/>
          <w:jc w:val="center"/>
        </w:trPr>
        <w:tc>
          <w:tcPr>
            <w:tcW w:w="40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收入</w:t>
            </w:r>
          </w:p>
        </w:tc>
        <w:tc>
          <w:tcPr>
            <w:tcW w:w="6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支出</w:t>
            </w:r>
          </w:p>
        </w:tc>
      </w:tr>
      <w:tr>
        <w:tblPrEx>
          <w:tblCellMar>
            <w:top w:w="15" w:type="dxa"/>
            <w:left w:w="15" w:type="dxa"/>
            <w:bottom w:w="15" w:type="dxa"/>
            <w:right w:w="15" w:type="dxa"/>
          </w:tblCellMar>
        </w:tblPrEx>
        <w:trPr>
          <w:trHeight w:val="997"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tblPrEx>
          <w:tblCellMar>
            <w:top w:w="15" w:type="dxa"/>
            <w:left w:w="15" w:type="dxa"/>
            <w:bottom w:w="15" w:type="dxa"/>
            <w:right w:w="15" w:type="dxa"/>
          </w:tblCellMar>
        </w:tblPrEx>
        <w:trPr>
          <w:trHeight w:val="535" w:hRule="atLeas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8"/>
                <w:szCs w:val="21"/>
              </w:rPr>
              <w:t>一、一般公共预算财政拨款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3375.59</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一、一般公共服务支出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921.19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8"/>
                <w:szCs w:val="21"/>
              </w:rPr>
              <w:t>二、政府性基金预算财政拨款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2</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二、外交支出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1"/>
                <w:szCs w:val="11"/>
              </w:rPr>
            </w:pPr>
            <w:r>
              <w:rPr>
                <w:rFonts w:hint="eastAsia"/>
                <w:sz w:val="16"/>
                <w:szCs w:val="20"/>
              </w:rPr>
              <w:t>三、国有资本经营预算财政拨款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28.82</w:t>
            </w: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三、国防支出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4</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四、公共安全支出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五、教育支出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6</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六、科学技术支出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7</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5"/>
                <w:szCs w:val="15"/>
              </w:rPr>
            </w:pPr>
            <w:r>
              <w:rPr>
                <w:rFonts w:hint="eastAsia"/>
                <w:sz w:val="20"/>
              </w:rPr>
              <w:t>七、文化旅游体育与传媒支出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39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八、社会保障和就业支出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9</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color w:val="000000"/>
                <w:sz w:val="13"/>
                <w:szCs w:val="13"/>
              </w:rPr>
            </w:pPr>
            <w:r>
              <w:rPr>
                <w:rFonts w:hint="eastAsia"/>
                <w:sz w:val="20"/>
              </w:rPr>
              <w:t>九、卫生健康支出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13"/>
                <w:szCs w:val="13"/>
              </w:rPr>
            </w:pPr>
            <w:r>
              <w:rPr>
                <w:rFonts w:hint="eastAsia"/>
                <w:sz w:val="20"/>
              </w:rPr>
              <w:t>十、节能环保支出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十一、城乡社区支出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十二、农林水支出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2137.47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rPr>
              <w:t>13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宋体" w:cs="宋体"/>
                <w:color w:val="000000"/>
                <w:sz w:val="13"/>
                <w:szCs w:val="13"/>
              </w:rPr>
            </w:pPr>
            <w:r>
              <w:rPr>
                <w:rFonts w:hint="eastAsia"/>
                <w:sz w:val="20"/>
              </w:rPr>
              <w:t>十三、交通运输支出</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Cs w:val="21"/>
              </w:rPr>
            </w:pPr>
            <w:r>
              <w:rPr>
                <w:rFonts w:hint="eastAsia"/>
                <w:sz w:val="20"/>
              </w:rPr>
              <w:t>45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sz w:val="15"/>
                <w:szCs w:val="15"/>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2"/>
              </w:rPr>
            </w:pPr>
            <w:r>
              <w:rPr>
                <w:rFonts w:hint="eastAsia"/>
              </w:rPr>
              <w:t>14</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sz w:val="13"/>
                <w:szCs w:val="13"/>
              </w:rPr>
            </w:pPr>
            <w:r>
              <w:rPr>
                <w:rFonts w:hint="eastAsia"/>
                <w:sz w:val="18"/>
                <w:szCs w:val="21"/>
              </w:rPr>
              <w:t>十四、资源勘探工业信息等支出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Cs w:val="21"/>
              </w:rPr>
            </w:pPr>
            <w:r>
              <w:rPr>
                <w:rFonts w:hint="eastAsia"/>
                <w:sz w:val="20"/>
              </w:rPr>
              <w:t>46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十五、商业服务业等支出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16</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十六、金融支出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17</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十七、援助其他地区支出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49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8"/>
                <w:szCs w:val="21"/>
              </w:rPr>
              <w:t>十八、自然资源海洋气象等支出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19</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十九、住房保障支出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二十、粮油物资储备支出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402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收入</w:t>
            </w:r>
          </w:p>
        </w:tc>
        <w:tc>
          <w:tcPr>
            <w:tcW w:w="6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b/>
                <w:bCs/>
                <w:color w:val="000000"/>
                <w:sz w:val="22"/>
              </w:rPr>
            </w:pPr>
            <w:r>
              <w:rPr>
                <w:rFonts w:hint="eastAsia" w:ascii="宋体" w:hAnsi="宋体" w:eastAsia="宋体" w:cs="宋体"/>
                <w:b/>
                <w:bCs/>
                <w:color w:val="000000"/>
                <w:kern w:val="0"/>
                <w:sz w:val="24"/>
                <w:szCs w:val="24"/>
                <w:lang w:bidi="ar"/>
              </w:rPr>
              <w:t>支出</w:t>
            </w:r>
          </w:p>
        </w:tc>
      </w:tr>
      <w:tr>
        <w:tblPrEx>
          <w:tblCellMar>
            <w:top w:w="15" w:type="dxa"/>
            <w:left w:w="15" w:type="dxa"/>
            <w:bottom w:w="15" w:type="dxa"/>
            <w:right w:w="15" w:type="dxa"/>
          </w:tblCellMar>
        </w:tblPrEx>
        <w:trPr>
          <w:trHeight w:val="14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金额</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    目</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0"/>
                <w:szCs w:val="20"/>
              </w:rPr>
            </w:pPr>
            <w:r>
              <w:rPr>
                <w:rFonts w:hint="eastAsia" w:ascii="宋体" w:hAnsi="宋体" w:eastAsia="宋体" w:cs="宋体"/>
                <w:b/>
                <w:bCs/>
                <w:color w:val="000000"/>
                <w:kern w:val="0"/>
                <w:sz w:val="20"/>
                <w:szCs w:val="20"/>
                <w:lang w:bidi="ar"/>
              </w:rPr>
              <w:t>行次</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一般公共预算财政拨款</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政府性基金预算财政拨款</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国有资本经营预算财政拨款</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    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4"/>
              </w:rPr>
            </w:pP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r>
      <w:tr>
        <w:tblPrEx>
          <w:tblCellMar>
            <w:top w:w="15" w:type="dxa"/>
            <w:left w:w="15" w:type="dxa"/>
            <w:bottom w:w="15" w:type="dxa"/>
            <w:right w:w="15" w:type="dxa"/>
          </w:tblCellMar>
        </w:tblPrEx>
        <w:trPr>
          <w:trHeight w:val="60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8"/>
                <w:szCs w:val="21"/>
              </w:rPr>
              <w:t>二十一、国有资本经营预算支出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color w:val="000000"/>
                <w:sz w:val="22"/>
                <w:lang w:val="en-US" w:eastAsia="zh-CN"/>
              </w:rPr>
            </w:pPr>
            <w:r>
              <w:rPr>
                <w:rFonts w:hint="eastAsia" w:ascii="宋体" w:hAnsi="宋体" w:eastAsia="宋体" w:cs="宋体"/>
                <w:b w:val="0"/>
                <w:bCs/>
                <w:color w:val="000000"/>
                <w:sz w:val="22"/>
                <w:lang w:val="en-US" w:eastAsia="zh-CN"/>
              </w:rPr>
              <w:t>65.65</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22</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6"/>
                <w:szCs w:val="20"/>
              </w:rPr>
              <w:t>二十二、灾害防治及应急管理支出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23</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二十三、其他支出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55</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24</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二十四、债务还本支出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56</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25</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二十五、债务付息支出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57</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587"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26</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16"/>
                <w:szCs w:val="20"/>
              </w:rPr>
              <w:t>二十六、抗疫特别国债安排的支出</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58</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r>
              <w:rPr>
                <w:rFonts w:hint="eastAsia"/>
                <w:b/>
                <w:bCs/>
              </w:rPr>
              <w:t>本年收入合计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27</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3404.41</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Cs w:val="21"/>
                <w:lang w:bidi="ar"/>
              </w:rPr>
            </w:pPr>
            <w:r>
              <w:rPr>
                <w:rFonts w:hint="eastAsia"/>
                <w:b/>
                <w:bCs/>
                <w:sz w:val="20"/>
              </w:rPr>
              <w:t>本年支出合计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59</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年初财政拨款结转和结余</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28</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49.38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r>
              <w:rPr>
                <w:rFonts w:hint="eastAsia"/>
                <w:sz w:val="20"/>
              </w:rPr>
              <w:t>年末财政拨款结转和结余</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60</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309.95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12.25</w:t>
            </w: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 xml:space="preserve">  一般公共预算财政拨款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29</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0.3</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61</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8"/>
                <w:szCs w:val="21"/>
              </w:rPr>
              <w:t xml:space="preserve">  政府性基金预算财政拨款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30</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2"/>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62</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textAlignment w:val="center"/>
              <w:rPr>
                <w:rFonts w:ascii="宋体" w:hAnsi="宋体" w:eastAsia="宋体" w:cs="宋体"/>
                <w:b/>
                <w:color w:val="000000"/>
                <w:kern w:val="0"/>
                <w:sz w:val="20"/>
                <w:szCs w:val="20"/>
                <w:lang w:bidi="ar"/>
              </w:rPr>
            </w:pPr>
            <w:r>
              <w:rPr>
                <w:rFonts w:hint="eastAsia"/>
                <w:sz w:val="16"/>
                <w:szCs w:val="20"/>
              </w:rPr>
              <w:t xml:space="preserve">  国有资本经营预算财政拨款</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 w:val="22"/>
                <w:lang w:bidi="ar"/>
              </w:rPr>
            </w:pPr>
            <w:r>
              <w:rPr>
                <w:rFonts w:hint="eastAsia"/>
              </w:rPr>
              <w:t>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49.08</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b/>
                <w:color w:val="000000"/>
                <w:kern w:val="0"/>
                <w:szCs w:val="21"/>
                <w:lang w:bidi="ar"/>
              </w:rPr>
            </w:pP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63</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val="0"/>
                <w:bCs/>
                <w:color w:val="000000"/>
                <w:sz w:val="22"/>
              </w:rPr>
            </w:pPr>
          </w:p>
        </w:tc>
      </w:tr>
      <w:tr>
        <w:tblPrEx>
          <w:tblCellMar>
            <w:top w:w="15" w:type="dxa"/>
            <w:left w:w="15" w:type="dxa"/>
            <w:bottom w:w="15" w:type="dxa"/>
            <w:right w:w="15" w:type="dxa"/>
          </w:tblCellMar>
        </w:tblPrEx>
        <w:trPr>
          <w:trHeight w:val="442" w:hRule="exact"/>
          <w:jc w:val="center"/>
        </w:trPr>
        <w:tc>
          <w:tcPr>
            <w:tcW w:w="23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 w:val="22"/>
                <w:lang w:bidi="ar"/>
              </w:rPr>
            </w:pPr>
            <w:r>
              <w:rPr>
                <w:rFonts w:hint="eastAsia"/>
                <w:b/>
                <w:bCs/>
              </w:rPr>
              <w:t>总计</w:t>
            </w:r>
          </w:p>
        </w:tc>
        <w:tc>
          <w:tcPr>
            <w:tcW w:w="5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pPr>
            <w:r>
              <w:rPr>
                <w:rFonts w:hint="eastAsia"/>
              </w:rPr>
              <w:t>32</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3453.79</w:t>
            </w:r>
          </w:p>
        </w:tc>
        <w:tc>
          <w:tcPr>
            <w:tcW w:w="2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color w:val="000000"/>
                <w:kern w:val="0"/>
                <w:szCs w:val="21"/>
                <w:lang w:bidi="ar"/>
              </w:rPr>
            </w:pPr>
            <w:r>
              <w:rPr>
                <w:rFonts w:hint="eastAsia"/>
                <w:b/>
                <w:bCs/>
                <w:sz w:val="20"/>
              </w:rPr>
              <w:t>总计</w:t>
            </w:r>
          </w:p>
        </w:tc>
        <w:tc>
          <w:tcPr>
            <w:tcW w:w="4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kern w:val="0"/>
                <w:szCs w:val="21"/>
                <w:lang w:bidi="ar"/>
              </w:rPr>
            </w:pPr>
            <w:r>
              <w:rPr>
                <w:rFonts w:hint="eastAsia"/>
                <w:sz w:val="20"/>
              </w:rPr>
              <w:t>64</w:t>
            </w:r>
          </w:p>
        </w:tc>
        <w:tc>
          <w:tcPr>
            <w:tcW w:w="75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eastAsia="宋体" w:cs="宋体"/>
                <w:color w:val="000000"/>
                <w:sz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3375.89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color w:val="000000"/>
                <w:sz w:val="22"/>
              </w:rPr>
            </w:pP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b w:val="0"/>
                <w:bCs/>
                <w:color w:val="000000"/>
                <w:sz w:val="22"/>
                <w:lang w:val="en-US" w:eastAsia="zh-CN"/>
              </w:rPr>
            </w:pPr>
            <w:r>
              <w:rPr>
                <w:rFonts w:hint="eastAsia" w:ascii="宋体" w:hAnsi="宋体" w:eastAsia="宋体" w:cs="宋体"/>
                <w:b w:val="0"/>
                <w:bCs/>
                <w:color w:val="000000"/>
                <w:sz w:val="22"/>
                <w:lang w:val="en-US" w:eastAsia="zh-CN"/>
              </w:rPr>
              <w:t>77.90</w:t>
            </w:r>
          </w:p>
        </w:tc>
      </w:tr>
      <w:tr>
        <w:tblPrEx>
          <w:tblCellMar>
            <w:top w:w="15" w:type="dxa"/>
            <w:left w:w="15" w:type="dxa"/>
            <w:bottom w:w="15" w:type="dxa"/>
            <w:right w:w="15" w:type="dxa"/>
          </w:tblCellMar>
        </w:tblPrEx>
        <w:trPr>
          <w:trHeight w:val="843" w:hRule="atLeast"/>
          <w:jc w:val="center"/>
        </w:trPr>
        <w:tc>
          <w:tcPr>
            <w:tcW w:w="10420" w:type="dxa"/>
            <w:gridSpan w:val="10"/>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注：本表反映部门本年度一般公共预算财政拨款、政府性基金预算财政拨款和国有资本经营预算财政拨款的总收支和年末结转结余情况。</w:t>
            </w:r>
          </w:p>
        </w:tc>
      </w:tr>
    </w:tbl>
    <w:p>
      <w:pPr>
        <w:widowControl/>
        <w:jc w:val="center"/>
        <w:textAlignment w:val="center"/>
        <w:rPr>
          <w:rFonts w:ascii="华文中宋" w:hAnsi="华文中宋" w:eastAsia="华文中宋" w:cs="华文中宋"/>
          <w:color w:val="000000"/>
          <w:kern w:val="0"/>
          <w:sz w:val="32"/>
          <w:szCs w:val="32"/>
          <w:lang w:bidi="ar"/>
        </w:rPr>
      </w:pPr>
      <w:r>
        <w:rPr>
          <w:rFonts w:hint="eastAsia" w:ascii="华文中宋" w:hAnsi="华文中宋" w:eastAsia="华文中宋" w:cs="华文中宋"/>
          <w:color w:val="000000"/>
          <w:kern w:val="0"/>
          <w:sz w:val="32"/>
          <w:szCs w:val="32"/>
          <w:lang w:bidi="ar"/>
        </w:rPr>
        <w:br w:type="page"/>
      </w:r>
    </w:p>
    <w:tbl>
      <w:tblPr>
        <w:tblStyle w:val="6"/>
        <w:tblW w:w="10900" w:type="dxa"/>
        <w:jc w:val="center"/>
        <w:tblLayout w:type="fixed"/>
        <w:tblCellMar>
          <w:top w:w="15" w:type="dxa"/>
          <w:left w:w="15" w:type="dxa"/>
          <w:bottom w:w="15" w:type="dxa"/>
          <w:right w:w="15" w:type="dxa"/>
        </w:tblCellMar>
      </w:tblPr>
      <w:tblGrid>
        <w:gridCol w:w="602"/>
        <w:gridCol w:w="1085"/>
        <w:gridCol w:w="2337"/>
        <w:gridCol w:w="2397"/>
        <w:gridCol w:w="2186"/>
        <w:gridCol w:w="2293"/>
      </w:tblGrid>
      <w:tr>
        <w:tblPrEx>
          <w:tblCellMar>
            <w:top w:w="15" w:type="dxa"/>
            <w:left w:w="15" w:type="dxa"/>
            <w:bottom w:w="15" w:type="dxa"/>
            <w:right w:w="15" w:type="dxa"/>
          </w:tblCellMar>
        </w:tblPrEx>
        <w:trPr>
          <w:trHeight w:val="628" w:hRule="atLeast"/>
          <w:jc w:val="center"/>
        </w:trPr>
        <w:tc>
          <w:tcPr>
            <w:tcW w:w="10900" w:type="dxa"/>
            <w:gridSpan w:val="6"/>
            <w:shd w:val="clear" w:color="auto" w:fill="FFFFFF"/>
            <w:vAlign w:val="center"/>
          </w:tcPr>
          <w:p>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一般公共预算财政拨款支出决算表</w:t>
            </w:r>
          </w:p>
        </w:tc>
      </w:tr>
      <w:tr>
        <w:tblPrEx>
          <w:tblCellMar>
            <w:top w:w="15" w:type="dxa"/>
            <w:left w:w="15" w:type="dxa"/>
            <w:bottom w:w="15" w:type="dxa"/>
            <w:right w:w="15" w:type="dxa"/>
          </w:tblCellMar>
        </w:tblPrEx>
        <w:trPr>
          <w:trHeight w:val="286" w:hRule="atLeast"/>
          <w:jc w:val="center"/>
        </w:trPr>
        <w:tc>
          <w:tcPr>
            <w:tcW w:w="602" w:type="dxa"/>
            <w:shd w:val="clear" w:color="auto" w:fill="FFFFFF"/>
            <w:vAlign w:val="center"/>
          </w:tcPr>
          <w:p>
            <w:pPr>
              <w:jc w:val="center"/>
              <w:rPr>
                <w:rFonts w:ascii="宋体" w:hAnsi="宋体" w:eastAsia="宋体" w:cs="宋体"/>
                <w:color w:val="000000"/>
                <w:sz w:val="20"/>
                <w:szCs w:val="20"/>
              </w:rPr>
            </w:pPr>
          </w:p>
        </w:tc>
        <w:tc>
          <w:tcPr>
            <w:tcW w:w="1085" w:type="dxa"/>
            <w:shd w:val="clear" w:color="auto" w:fill="FFFFFF"/>
            <w:vAlign w:val="center"/>
          </w:tcPr>
          <w:p>
            <w:pPr>
              <w:jc w:val="center"/>
              <w:rPr>
                <w:rFonts w:ascii="宋体" w:hAnsi="宋体" w:eastAsia="宋体" w:cs="宋体"/>
                <w:color w:val="000000"/>
                <w:sz w:val="20"/>
                <w:szCs w:val="20"/>
              </w:rPr>
            </w:pPr>
          </w:p>
        </w:tc>
        <w:tc>
          <w:tcPr>
            <w:tcW w:w="2337" w:type="dxa"/>
            <w:shd w:val="clear" w:color="auto" w:fill="FFFFFF"/>
            <w:vAlign w:val="center"/>
          </w:tcPr>
          <w:p>
            <w:pPr>
              <w:jc w:val="center"/>
              <w:rPr>
                <w:rFonts w:ascii="宋体" w:hAnsi="宋体" w:eastAsia="宋体" w:cs="宋体"/>
                <w:color w:val="000000"/>
                <w:sz w:val="20"/>
                <w:szCs w:val="20"/>
              </w:rPr>
            </w:pPr>
          </w:p>
        </w:tc>
        <w:tc>
          <w:tcPr>
            <w:tcW w:w="2397" w:type="dxa"/>
            <w:shd w:val="clear" w:color="auto" w:fill="FFFFFF"/>
            <w:vAlign w:val="center"/>
          </w:tcPr>
          <w:p>
            <w:pPr>
              <w:rPr>
                <w:rFonts w:ascii="宋体" w:hAnsi="宋体" w:eastAsia="宋体" w:cs="宋体"/>
                <w:color w:val="000000"/>
                <w:sz w:val="20"/>
                <w:szCs w:val="20"/>
              </w:rPr>
            </w:pPr>
          </w:p>
        </w:tc>
        <w:tc>
          <w:tcPr>
            <w:tcW w:w="2186" w:type="dxa"/>
            <w:shd w:val="clear" w:color="auto" w:fill="FFFFFF"/>
            <w:vAlign w:val="center"/>
          </w:tcPr>
          <w:p>
            <w:pPr>
              <w:rPr>
                <w:rFonts w:ascii="宋体" w:hAnsi="宋体" w:eastAsia="宋体" w:cs="宋体"/>
                <w:color w:val="000000"/>
                <w:sz w:val="20"/>
                <w:szCs w:val="20"/>
              </w:rPr>
            </w:pPr>
          </w:p>
        </w:tc>
        <w:tc>
          <w:tcPr>
            <w:tcW w:w="2293"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w:t>
            </w:r>
            <w:r>
              <w:rPr>
                <w:rStyle w:val="11"/>
                <w:rFonts w:hint="default"/>
                <w:lang w:bidi="ar"/>
              </w:rPr>
              <w:t>5表</w:t>
            </w:r>
          </w:p>
        </w:tc>
      </w:tr>
      <w:tr>
        <w:tblPrEx>
          <w:tblCellMar>
            <w:top w:w="15" w:type="dxa"/>
            <w:left w:w="15" w:type="dxa"/>
            <w:bottom w:w="15" w:type="dxa"/>
            <w:right w:w="15" w:type="dxa"/>
          </w:tblCellMar>
        </w:tblPrEx>
        <w:trPr>
          <w:trHeight w:val="327" w:hRule="atLeast"/>
          <w:jc w:val="center"/>
        </w:trPr>
        <w:tc>
          <w:tcPr>
            <w:tcW w:w="602"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3422" w:type="dxa"/>
            <w:gridSpan w:val="2"/>
            <w:shd w:val="clear" w:color="auto" w:fill="FFFFFF"/>
            <w:vAlign w:val="center"/>
          </w:tcPr>
          <w:p>
            <w:pPr>
              <w:jc w:val="both"/>
              <w:rPr>
                <w:rFonts w:ascii="宋体" w:hAnsi="宋体" w:eastAsia="宋体" w:cs="宋体"/>
                <w:color w:val="000000"/>
                <w:sz w:val="20"/>
                <w:szCs w:val="20"/>
              </w:rPr>
            </w:pPr>
            <w:r>
              <w:rPr>
                <w:rFonts w:hint="eastAsia" w:ascii="宋体" w:hAnsi="宋体" w:eastAsia="宋体" w:cs="宋体"/>
                <w:color w:val="000000"/>
                <w:kern w:val="0"/>
                <w:sz w:val="20"/>
                <w:szCs w:val="20"/>
              </w:rPr>
              <w:t>怀来县新保安镇人民政府</w:t>
            </w:r>
            <w:r>
              <w:rPr>
                <w:rFonts w:hint="eastAsia" w:ascii="宋体" w:hAnsi="宋体" w:eastAsia="宋体" w:cs="宋体"/>
                <w:color w:val="000000"/>
                <w:sz w:val="20"/>
                <w:szCs w:val="20"/>
              </w:rPr>
              <w:t xml:space="preserve">             </w:t>
            </w:r>
          </w:p>
        </w:tc>
        <w:tc>
          <w:tcPr>
            <w:tcW w:w="2397" w:type="dxa"/>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186" w:type="dxa"/>
            <w:shd w:val="clear" w:color="auto" w:fill="FFFFFF"/>
            <w:vAlign w:val="center"/>
          </w:tcPr>
          <w:p>
            <w:pPr>
              <w:rPr>
                <w:rFonts w:ascii="宋体" w:hAnsi="宋体" w:eastAsia="宋体" w:cs="宋体"/>
                <w:color w:val="000000"/>
                <w:sz w:val="20"/>
                <w:szCs w:val="20"/>
              </w:rPr>
            </w:pPr>
          </w:p>
        </w:tc>
        <w:tc>
          <w:tcPr>
            <w:tcW w:w="2293"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38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项 </w:t>
            </w:r>
            <w:r>
              <w:rPr>
                <w:rStyle w:val="12"/>
                <w:rFonts w:hint="default"/>
                <w:lang w:bidi="ar"/>
              </w:rPr>
              <w:t xml:space="preserve">   </w:t>
            </w:r>
            <w:r>
              <w:rPr>
                <w:rStyle w:val="13"/>
                <w:rFonts w:hint="default"/>
                <w:lang w:bidi="ar"/>
              </w:rPr>
              <w:t>目</w:t>
            </w:r>
          </w:p>
        </w:tc>
        <w:tc>
          <w:tcPr>
            <w:tcW w:w="68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本年支出</w:t>
            </w:r>
          </w:p>
        </w:tc>
      </w:tr>
      <w:tr>
        <w:tblPrEx>
          <w:tblCellMar>
            <w:top w:w="15" w:type="dxa"/>
            <w:left w:w="15" w:type="dxa"/>
            <w:bottom w:w="15" w:type="dxa"/>
            <w:right w:w="15" w:type="dxa"/>
          </w:tblCellMar>
        </w:tblPrEx>
        <w:trPr>
          <w:trHeight w:val="360" w:hRule="atLeast"/>
          <w:jc w:val="center"/>
        </w:trPr>
        <w:tc>
          <w:tcPr>
            <w:tcW w:w="16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科目代码</w:t>
            </w:r>
          </w:p>
        </w:tc>
        <w:tc>
          <w:tcPr>
            <w:tcW w:w="2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科目名称</w:t>
            </w:r>
          </w:p>
        </w:tc>
        <w:tc>
          <w:tcPr>
            <w:tcW w:w="23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小计</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 xml:space="preserve">基本支出  </w:t>
            </w:r>
          </w:p>
        </w:tc>
        <w:tc>
          <w:tcPr>
            <w:tcW w:w="2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项目支出</w:t>
            </w:r>
          </w:p>
        </w:tc>
      </w:tr>
      <w:tr>
        <w:tblPrEx>
          <w:tblCellMar>
            <w:top w:w="15" w:type="dxa"/>
            <w:left w:w="15" w:type="dxa"/>
            <w:bottom w:w="15" w:type="dxa"/>
            <w:right w:w="15" w:type="dxa"/>
          </w:tblCellMar>
        </w:tblPrEx>
        <w:trPr>
          <w:trHeight w:val="360"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12" w:hRule="atLeast"/>
          <w:jc w:val="center"/>
        </w:trPr>
        <w:tc>
          <w:tcPr>
            <w:tcW w:w="16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3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60" w:hRule="atLeast"/>
          <w:jc w:val="center"/>
        </w:trPr>
        <w:tc>
          <w:tcPr>
            <w:tcW w:w="4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3065.95</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r>
              <w:rPr>
                <w:rFonts w:hint="eastAsia" w:ascii="宋体" w:hAnsi="宋体" w:eastAsia="宋体" w:cs="宋体"/>
                <w:color w:val="000000"/>
                <w:sz w:val="24"/>
                <w:lang w:val="en-US" w:eastAsia="zh-CN"/>
              </w:rPr>
              <w:t>921.19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2144.76</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一般公共服务支出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政府办公厅（室）及相关机构事务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2010301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行政运行</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921.19</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节能环保支出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污染防治</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21103</w:t>
            </w:r>
            <w:r>
              <w:rPr>
                <w:rFonts w:hint="eastAsia" w:ascii="宋体" w:hAnsi="宋体"/>
                <w:color w:val="000000"/>
                <w:sz w:val="20"/>
                <w:szCs w:val="20"/>
                <w:lang w:val="en-US" w:eastAsia="zh-CN"/>
              </w:rPr>
              <w:t>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大气</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农林水支出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2137.47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2137.47</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农业农村</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164.60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164.60</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2130119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防灾救灾</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13.82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13.82</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2130122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农业生产发展</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150.77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150.77</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林业和草原</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530.13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530.13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森林资源培育</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500.13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500.13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2130234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林业草原防灾救灾</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30.00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30.00</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水利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15.02</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2130314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防汛</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5.00</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2130399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其他水利支出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10.02</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10.02</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巩固脱贫攻坚成果衔接乡村振兴</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2130599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其他巩固脱贫攻坚成果衔接乡村振兴支持</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260.53</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农村综合改革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1167.18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1167.18</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2130701</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对村级公益事业建设的补助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157.71</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157.71</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2130705</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对村民委员会和村党支部的补助</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351.07</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351.07</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2130799</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宋体" w:hAnsi="宋体" w:eastAsiaTheme="minorEastAsia" w:cstheme="minorBidi"/>
                <w:color w:val="000000"/>
                <w:kern w:val="2"/>
                <w:sz w:val="20"/>
                <w:szCs w:val="20"/>
                <w:lang w:val="en-US" w:eastAsia="zh-CN" w:bidi="ar-SA"/>
              </w:rPr>
            </w:pPr>
            <w:r>
              <w:rPr>
                <w:rFonts w:hint="eastAsia" w:ascii="宋体" w:hAnsi="宋体"/>
                <w:color w:val="000000"/>
                <w:sz w:val="20"/>
                <w:szCs w:val="20"/>
                <w:lang w:val="en-US" w:eastAsia="zh-CN"/>
              </w:rPr>
              <w:t>其他农村综合改革支出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658.39</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658.39</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灾害防治及应急管理支出</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森林消防事务</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r>
      <w:tr>
        <w:tblPrEx>
          <w:tblCellMar>
            <w:top w:w="15" w:type="dxa"/>
            <w:left w:w="15" w:type="dxa"/>
            <w:bottom w:w="15" w:type="dxa"/>
            <w:right w:w="15" w:type="dxa"/>
          </w:tblCellMar>
        </w:tblPrEx>
        <w:trPr>
          <w:trHeight w:val="360" w:hRule="atLeast"/>
          <w:jc w:val="center"/>
        </w:trPr>
        <w:tc>
          <w:tcPr>
            <w:tcW w:w="16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2240304</w:t>
            </w:r>
          </w:p>
        </w:tc>
        <w:tc>
          <w:tcPr>
            <w:tcW w:w="23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森林消防应急救援</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7.28</w:t>
            </w:r>
          </w:p>
        </w:tc>
      </w:tr>
      <w:tr>
        <w:tblPrEx>
          <w:tblCellMar>
            <w:top w:w="15" w:type="dxa"/>
            <w:left w:w="15" w:type="dxa"/>
            <w:bottom w:w="15" w:type="dxa"/>
            <w:right w:w="15" w:type="dxa"/>
          </w:tblCellMar>
        </w:tblPrEx>
        <w:trPr>
          <w:trHeight w:val="803" w:hRule="atLeast"/>
          <w:jc w:val="center"/>
        </w:trPr>
        <w:tc>
          <w:tcPr>
            <w:tcW w:w="10900" w:type="dxa"/>
            <w:gridSpan w:val="6"/>
            <w:shd w:val="clear" w:color="auto" w:fill="auto"/>
            <w:vAlign w:val="center"/>
          </w:tcPr>
          <w:p>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注：本表反映部门本年度一般公共预算财政拨款支出情况。</w:t>
            </w:r>
          </w:p>
        </w:tc>
      </w:tr>
    </w:tbl>
    <w:p>
      <w:pPr>
        <w:sectPr>
          <w:pgSz w:w="11906" w:h="16838"/>
          <w:pgMar w:top="1474" w:right="1474" w:bottom="1474" w:left="1474" w:header="851" w:footer="992" w:gutter="0"/>
          <w:cols w:space="0" w:num="1"/>
          <w:docGrid w:type="lines" w:linePitch="312" w:charSpace="0"/>
        </w:sectPr>
      </w:pPr>
    </w:p>
    <w:tbl>
      <w:tblPr>
        <w:tblStyle w:val="6"/>
        <w:tblW w:w="10760" w:type="dxa"/>
        <w:jc w:val="center"/>
        <w:tblLayout w:type="fixed"/>
        <w:tblCellMar>
          <w:top w:w="15" w:type="dxa"/>
          <w:left w:w="15" w:type="dxa"/>
          <w:bottom w:w="15" w:type="dxa"/>
          <w:right w:w="15" w:type="dxa"/>
        </w:tblCellMar>
      </w:tblPr>
      <w:tblGrid>
        <w:gridCol w:w="663"/>
        <w:gridCol w:w="2440"/>
        <w:gridCol w:w="544"/>
        <w:gridCol w:w="634"/>
        <w:gridCol w:w="1871"/>
        <w:gridCol w:w="721"/>
        <w:gridCol w:w="615"/>
        <w:gridCol w:w="2543"/>
        <w:gridCol w:w="729"/>
      </w:tblGrid>
      <w:tr>
        <w:tblPrEx>
          <w:tblCellMar>
            <w:top w:w="15" w:type="dxa"/>
            <w:left w:w="15" w:type="dxa"/>
            <w:bottom w:w="15" w:type="dxa"/>
            <w:right w:w="15" w:type="dxa"/>
          </w:tblCellMar>
        </w:tblPrEx>
        <w:trPr>
          <w:trHeight w:val="619" w:hRule="atLeast"/>
          <w:jc w:val="center"/>
        </w:trPr>
        <w:tc>
          <w:tcPr>
            <w:tcW w:w="10760" w:type="dxa"/>
            <w:gridSpan w:val="9"/>
            <w:shd w:val="clear" w:color="auto" w:fill="FFFFFF"/>
            <w:vAlign w:val="center"/>
          </w:tcPr>
          <w:p>
            <w:pPr>
              <w:widowControl/>
              <w:tabs>
                <w:tab w:val="left" w:pos="3809"/>
              </w:tabs>
              <w:jc w:val="center"/>
              <w:textAlignment w:val="center"/>
              <w:rPr>
                <w:rFonts w:ascii="宋体" w:hAnsi="宋体" w:eastAsia="宋体" w:cs="宋体"/>
                <w:color w:val="000000"/>
                <w:kern w:val="0"/>
                <w:sz w:val="20"/>
                <w:szCs w:val="20"/>
                <w:lang w:bidi="ar"/>
              </w:rPr>
            </w:pPr>
            <w:r>
              <w:rPr>
                <w:rFonts w:hint="eastAsia" w:ascii="华文中宋" w:hAnsi="华文中宋" w:eastAsia="华文中宋" w:cs="华文中宋"/>
                <w:b/>
                <w:bCs/>
                <w:color w:val="000000"/>
                <w:kern w:val="0"/>
                <w:sz w:val="32"/>
                <w:szCs w:val="32"/>
                <w:lang w:bidi="ar"/>
              </w:rPr>
              <w:t>一般公共预算财政拨款基本支出决算</w:t>
            </w:r>
            <w:r>
              <w:rPr>
                <w:rStyle w:val="14"/>
                <w:rFonts w:hint="default"/>
                <w:b/>
                <w:bCs/>
                <w:lang w:bidi="ar"/>
              </w:rPr>
              <w:t>明细</w:t>
            </w:r>
            <w:r>
              <w:rPr>
                <w:rStyle w:val="15"/>
                <w:rFonts w:hint="default"/>
                <w:b/>
                <w:bCs/>
                <w:lang w:bidi="ar"/>
              </w:rPr>
              <w:t>表</w:t>
            </w:r>
          </w:p>
        </w:tc>
      </w:tr>
      <w:tr>
        <w:tblPrEx>
          <w:tblCellMar>
            <w:top w:w="15" w:type="dxa"/>
            <w:left w:w="15" w:type="dxa"/>
            <w:bottom w:w="15" w:type="dxa"/>
            <w:right w:w="15" w:type="dxa"/>
          </w:tblCellMar>
        </w:tblPrEx>
        <w:trPr>
          <w:trHeight w:val="211" w:hRule="atLeast"/>
          <w:jc w:val="center"/>
        </w:trPr>
        <w:tc>
          <w:tcPr>
            <w:tcW w:w="663" w:type="dxa"/>
            <w:shd w:val="clear" w:color="auto" w:fill="FFFFFF"/>
            <w:vAlign w:val="center"/>
          </w:tcPr>
          <w:p>
            <w:pPr>
              <w:jc w:val="center"/>
              <w:rPr>
                <w:rFonts w:ascii="宋体" w:hAnsi="宋体" w:eastAsia="宋体" w:cs="宋体"/>
                <w:color w:val="000000"/>
                <w:sz w:val="20"/>
                <w:szCs w:val="20"/>
              </w:rPr>
            </w:pPr>
          </w:p>
        </w:tc>
        <w:tc>
          <w:tcPr>
            <w:tcW w:w="2440" w:type="dxa"/>
            <w:shd w:val="clear" w:color="auto" w:fill="FFFFFF"/>
            <w:vAlign w:val="center"/>
          </w:tcPr>
          <w:p>
            <w:pPr>
              <w:jc w:val="center"/>
              <w:rPr>
                <w:rFonts w:ascii="宋体" w:hAnsi="宋体" w:eastAsia="宋体" w:cs="宋体"/>
                <w:color w:val="000000"/>
                <w:sz w:val="20"/>
                <w:szCs w:val="20"/>
              </w:rPr>
            </w:pPr>
          </w:p>
        </w:tc>
        <w:tc>
          <w:tcPr>
            <w:tcW w:w="544" w:type="dxa"/>
            <w:shd w:val="clear" w:color="auto" w:fill="FFFFFF"/>
            <w:vAlign w:val="center"/>
          </w:tcPr>
          <w:p>
            <w:pPr>
              <w:jc w:val="center"/>
              <w:rPr>
                <w:rFonts w:ascii="宋体" w:hAnsi="宋体" w:eastAsia="宋体" w:cs="宋体"/>
                <w:color w:val="000000"/>
                <w:sz w:val="20"/>
                <w:szCs w:val="20"/>
              </w:rPr>
            </w:pPr>
          </w:p>
        </w:tc>
        <w:tc>
          <w:tcPr>
            <w:tcW w:w="634" w:type="dxa"/>
            <w:shd w:val="clear" w:color="auto" w:fill="FFFFFF"/>
            <w:vAlign w:val="center"/>
          </w:tcPr>
          <w:p>
            <w:pPr>
              <w:rPr>
                <w:rFonts w:ascii="宋体" w:hAnsi="宋体" w:eastAsia="宋体" w:cs="宋体"/>
                <w:color w:val="000000"/>
                <w:sz w:val="20"/>
                <w:szCs w:val="20"/>
              </w:rPr>
            </w:pPr>
          </w:p>
        </w:tc>
        <w:tc>
          <w:tcPr>
            <w:tcW w:w="1871" w:type="dxa"/>
            <w:shd w:val="clear" w:color="auto" w:fill="FFFFFF"/>
            <w:vAlign w:val="center"/>
          </w:tcPr>
          <w:p>
            <w:pPr>
              <w:rPr>
                <w:rFonts w:ascii="宋体" w:hAnsi="宋体" w:eastAsia="宋体" w:cs="宋体"/>
                <w:color w:val="000000"/>
                <w:sz w:val="20"/>
                <w:szCs w:val="20"/>
              </w:rPr>
            </w:pPr>
          </w:p>
        </w:tc>
        <w:tc>
          <w:tcPr>
            <w:tcW w:w="721" w:type="dxa"/>
            <w:shd w:val="clear" w:color="auto" w:fill="FFFFFF"/>
            <w:vAlign w:val="center"/>
          </w:tcPr>
          <w:p>
            <w:pPr>
              <w:rPr>
                <w:rFonts w:ascii="宋体" w:hAnsi="宋体" w:eastAsia="宋体" w:cs="宋体"/>
                <w:color w:val="000000"/>
                <w:sz w:val="20"/>
                <w:szCs w:val="20"/>
              </w:rPr>
            </w:pPr>
          </w:p>
        </w:tc>
        <w:tc>
          <w:tcPr>
            <w:tcW w:w="615" w:type="dxa"/>
            <w:shd w:val="clear" w:color="auto" w:fill="FFFFFF"/>
            <w:vAlign w:val="center"/>
          </w:tcPr>
          <w:p>
            <w:pPr>
              <w:rPr>
                <w:rFonts w:ascii="宋体" w:hAnsi="宋体" w:eastAsia="宋体" w:cs="宋体"/>
                <w:color w:val="000000"/>
                <w:sz w:val="20"/>
                <w:szCs w:val="20"/>
              </w:rPr>
            </w:pPr>
          </w:p>
        </w:tc>
        <w:tc>
          <w:tcPr>
            <w:tcW w:w="3272"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公开06表</w:t>
            </w:r>
          </w:p>
        </w:tc>
      </w:tr>
      <w:tr>
        <w:tblPrEx>
          <w:tblCellMar>
            <w:top w:w="15" w:type="dxa"/>
            <w:left w:w="15" w:type="dxa"/>
            <w:bottom w:w="15" w:type="dxa"/>
            <w:right w:w="15" w:type="dxa"/>
          </w:tblCellMar>
        </w:tblPrEx>
        <w:trPr>
          <w:trHeight w:val="266" w:hRule="atLeast"/>
          <w:jc w:val="center"/>
        </w:trPr>
        <w:tc>
          <w:tcPr>
            <w:tcW w:w="663" w:type="dxa"/>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440" w:type="dxa"/>
            <w:shd w:val="clear" w:color="auto" w:fill="auto"/>
            <w:vAlign w:val="center"/>
          </w:tcPr>
          <w:p>
            <w:pPr>
              <w:rPr>
                <w:rFonts w:ascii="宋体" w:hAnsi="宋体" w:eastAsia="宋体" w:cs="宋体"/>
                <w:color w:val="000000"/>
                <w:sz w:val="20"/>
                <w:szCs w:val="20"/>
              </w:rPr>
            </w:pPr>
            <w:r>
              <w:rPr>
                <w:rFonts w:hint="eastAsia" w:ascii="宋体" w:hAnsi="宋体" w:eastAsia="宋体" w:cs="宋体"/>
                <w:color w:val="000000"/>
                <w:kern w:val="0"/>
                <w:sz w:val="20"/>
                <w:szCs w:val="20"/>
              </w:rPr>
              <w:t>怀来县新保安镇人民政府</w:t>
            </w:r>
          </w:p>
        </w:tc>
        <w:tc>
          <w:tcPr>
            <w:tcW w:w="544" w:type="dxa"/>
            <w:shd w:val="clear" w:color="auto" w:fill="auto"/>
            <w:vAlign w:val="center"/>
          </w:tcPr>
          <w:p>
            <w:pPr>
              <w:rPr>
                <w:rFonts w:ascii="宋体" w:hAnsi="宋体" w:eastAsia="宋体" w:cs="宋体"/>
                <w:color w:val="000000"/>
                <w:sz w:val="20"/>
                <w:szCs w:val="20"/>
              </w:rPr>
            </w:pPr>
          </w:p>
        </w:tc>
        <w:tc>
          <w:tcPr>
            <w:tcW w:w="634" w:type="dxa"/>
            <w:shd w:val="clear" w:color="auto" w:fill="auto"/>
            <w:vAlign w:val="center"/>
          </w:tcPr>
          <w:p>
            <w:pPr>
              <w:rPr>
                <w:rFonts w:ascii="宋体" w:hAnsi="宋体" w:eastAsia="宋体" w:cs="宋体"/>
                <w:color w:val="000000"/>
                <w:sz w:val="20"/>
                <w:szCs w:val="20"/>
              </w:rPr>
            </w:pPr>
          </w:p>
        </w:tc>
        <w:tc>
          <w:tcPr>
            <w:tcW w:w="1871" w:type="dxa"/>
            <w:shd w:val="clear" w:color="auto" w:fill="auto"/>
            <w:vAlign w:val="center"/>
          </w:tcPr>
          <w:p>
            <w:pPr>
              <w:ind w:firstLine="600" w:firstLineChars="300"/>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721" w:type="dxa"/>
            <w:shd w:val="clear" w:color="auto" w:fill="auto"/>
            <w:vAlign w:val="center"/>
          </w:tcPr>
          <w:p>
            <w:pPr>
              <w:rPr>
                <w:rFonts w:ascii="宋体" w:hAnsi="宋体" w:eastAsia="宋体" w:cs="宋体"/>
                <w:color w:val="000000"/>
                <w:sz w:val="20"/>
                <w:szCs w:val="20"/>
              </w:rPr>
            </w:pPr>
          </w:p>
        </w:tc>
        <w:tc>
          <w:tcPr>
            <w:tcW w:w="615" w:type="dxa"/>
            <w:shd w:val="clear" w:color="auto" w:fill="auto"/>
            <w:vAlign w:val="center"/>
          </w:tcPr>
          <w:p>
            <w:pPr>
              <w:rPr>
                <w:rFonts w:ascii="宋体" w:hAnsi="宋体" w:eastAsia="宋体" w:cs="宋体"/>
                <w:color w:val="000000"/>
                <w:sz w:val="20"/>
                <w:szCs w:val="20"/>
              </w:rPr>
            </w:pPr>
          </w:p>
        </w:tc>
        <w:tc>
          <w:tcPr>
            <w:tcW w:w="3272" w:type="dxa"/>
            <w:gridSpan w:val="2"/>
            <w:shd w:val="clear" w:color="auto" w:fill="auto"/>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629"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科目代码</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科目名称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决算数</w:t>
            </w: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725.45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69.54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基本工资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266.29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10.65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津贴补贴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217.86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50.85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伙食补助费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绩效工资</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1.40</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294"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5"/>
                <w:szCs w:val="15"/>
                <w:lang w:bidi="ar"/>
              </w:rPr>
              <w:t>机关事业单位基本养老保险缴费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72.74</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1.69</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职业年金缴费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15.87</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14.17</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职工基本医疗保险缴费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25.06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6.44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公务员医疗补助缴费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其他社会保障缴费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3.36</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0.74</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住房公积金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49.39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16"/>
                <w:szCs w:val="16"/>
                <w:lang w:bidi="ar"/>
              </w:rPr>
              <w:t xml:space="preserve">  因公出国（境）费用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30114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其他工资福利支出</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22.57</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126.19</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离休费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30302</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退休费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124.34</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30303</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退职（役）费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30304</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抚恤金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30305</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生活补助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30306</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救济费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4" w:leftChars="102"/>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30307</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医疗费补助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462"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30308</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助学金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对民间非营利组织和群众性自治组织补贴</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30309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奖励金</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经常性赠与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30310</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个人农业生产补贴</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公务用车运行维护费</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资本性赠与</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3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30311</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代缴社会保险费</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293"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30399</w:t>
            </w: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其他对个人和家庭的补助</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1.85</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230" w:hRule="atLeast"/>
          <w:jc w:val="center"/>
        </w:trPr>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2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87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6"/>
                <w:szCs w:val="16"/>
                <w:lang w:bidi="ar"/>
              </w:rPr>
              <w:t xml:space="preserve"> 其他商品和服务支出</w:t>
            </w:r>
          </w:p>
        </w:tc>
        <w:tc>
          <w:tcPr>
            <w:tcW w:w="7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11.72</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18"/>
                <w:szCs w:val="18"/>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r>
      <w:tr>
        <w:tblPrEx>
          <w:tblCellMar>
            <w:top w:w="15" w:type="dxa"/>
            <w:left w:w="15" w:type="dxa"/>
            <w:bottom w:w="15" w:type="dxa"/>
            <w:right w:w="15" w:type="dxa"/>
          </w:tblCellMar>
        </w:tblPrEx>
        <w:trPr>
          <w:trHeight w:val="343" w:hRule="atLeast"/>
          <w:jc w:val="center"/>
        </w:trPr>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5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851.65</w:t>
            </w:r>
          </w:p>
        </w:tc>
        <w:tc>
          <w:tcPr>
            <w:tcW w:w="638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69.54</w:t>
            </w:r>
          </w:p>
        </w:tc>
      </w:tr>
    </w:tbl>
    <w:p>
      <w:pPr>
        <w:sectPr>
          <w:pgSz w:w="11906" w:h="16838"/>
          <w:pgMar w:top="1474" w:right="1474" w:bottom="1474" w:left="1474" w:header="851" w:footer="992" w:gutter="0"/>
          <w:cols w:space="0" w:num="1"/>
          <w:docGrid w:type="lines" w:linePitch="312" w:charSpace="0"/>
        </w:sectPr>
      </w:pPr>
      <w:r>
        <w:rPr>
          <w:rFonts w:hint="eastAsia" w:ascii="宋体" w:hAnsi="宋体" w:cs="宋体"/>
          <w:color w:val="000000"/>
          <w:kern w:val="0"/>
          <w:sz w:val="24"/>
          <w:szCs w:val="24"/>
          <w:lang w:bidi="ar"/>
        </w:rPr>
        <w:t>注：本表反映部门本年度一般公共预算财政拨款基本支出明细情况。</w:t>
      </w:r>
    </w:p>
    <w:tbl>
      <w:tblPr>
        <w:tblStyle w:val="6"/>
        <w:tblW w:w="10350" w:type="dxa"/>
        <w:jc w:val="center"/>
        <w:tblLayout w:type="fixed"/>
        <w:tblCellMar>
          <w:top w:w="15" w:type="dxa"/>
          <w:left w:w="15" w:type="dxa"/>
          <w:bottom w:w="15" w:type="dxa"/>
          <w:right w:w="15" w:type="dxa"/>
        </w:tblCellMar>
      </w:tblPr>
      <w:tblGrid>
        <w:gridCol w:w="555"/>
        <w:gridCol w:w="1080"/>
        <w:gridCol w:w="1321"/>
        <w:gridCol w:w="1996"/>
        <w:gridCol w:w="1080"/>
        <w:gridCol w:w="1080"/>
        <w:gridCol w:w="1080"/>
        <w:gridCol w:w="1081"/>
        <w:gridCol w:w="1077"/>
      </w:tblGrid>
      <w:tr>
        <w:tblPrEx>
          <w:tblCellMar>
            <w:top w:w="15" w:type="dxa"/>
            <w:left w:w="15" w:type="dxa"/>
            <w:bottom w:w="15" w:type="dxa"/>
            <w:right w:w="15" w:type="dxa"/>
          </w:tblCellMar>
        </w:tblPrEx>
        <w:trPr>
          <w:trHeight w:val="600" w:hRule="atLeast"/>
          <w:jc w:val="center"/>
        </w:trPr>
        <w:tc>
          <w:tcPr>
            <w:tcW w:w="10350" w:type="dxa"/>
            <w:gridSpan w:val="9"/>
            <w:shd w:val="clear" w:color="auto" w:fill="FFFFFF"/>
            <w:vAlign w:val="center"/>
          </w:tcPr>
          <w:p>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政府性基金预算财政拨款收入支出决算表</w:t>
            </w:r>
          </w:p>
        </w:tc>
      </w:tr>
      <w:tr>
        <w:tblPrEx>
          <w:tblCellMar>
            <w:top w:w="15" w:type="dxa"/>
            <w:left w:w="15" w:type="dxa"/>
            <w:bottom w:w="15" w:type="dxa"/>
            <w:right w:w="15" w:type="dxa"/>
          </w:tblCellMar>
        </w:tblPrEx>
        <w:trPr>
          <w:trHeight w:val="211" w:hRule="atLeast"/>
          <w:jc w:val="center"/>
        </w:trPr>
        <w:tc>
          <w:tcPr>
            <w:tcW w:w="555" w:type="dxa"/>
            <w:shd w:val="clear" w:color="auto" w:fill="FFFFFF"/>
            <w:vAlign w:val="center"/>
          </w:tcPr>
          <w:p>
            <w:pPr>
              <w:jc w:val="center"/>
              <w:rPr>
                <w:rFonts w:ascii="宋体" w:hAnsi="宋体" w:eastAsia="宋体" w:cs="宋体"/>
                <w:color w:val="000000"/>
                <w:sz w:val="20"/>
                <w:szCs w:val="20"/>
              </w:rPr>
            </w:pPr>
          </w:p>
        </w:tc>
        <w:tc>
          <w:tcPr>
            <w:tcW w:w="1080" w:type="dxa"/>
            <w:shd w:val="clear" w:color="auto" w:fill="FFFFFF"/>
            <w:vAlign w:val="center"/>
          </w:tcPr>
          <w:p>
            <w:pPr>
              <w:jc w:val="center"/>
              <w:rPr>
                <w:rFonts w:ascii="宋体" w:hAnsi="宋体" w:eastAsia="宋体" w:cs="宋体"/>
                <w:color w:val="000000"/>
                <w:sz w:val="20"/>
                <w:szCs w:val="20"/>
              </w:rPr>
            </w:pPr>
          </w:p>
        </w:tc>
        <w:tc>
          <w:tcPr>
            <w:tcW w:w="1321" w:type="dxa"/>
            <w:shd w:val="clear" w:color="auto" w:fill="FFFFFF"/>
            <w:vAlign w:val="center"/>
          </w:tcPr>
          <w:p>
            <w:pPr>
              <w:jc w:val="center"/>
              <w:rPr>
                <w:rFonts w:ascii="宋体" w:hAnsi="宋体" w:eastAsia="宋体" w:cs="宋体"/>
                <w:color w:val="000000"/>
                <w:sz w:val="20"/>
                <w:szCs w:val="20"/>
              </w:rPr>
            </w:pPr>
          </w:p>
        </w:tc>
        <w:tc>
          <w:tcPr>
            <w:tcW w:w="1996"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0" w:type="dxa"/>
            <w:shd w:val="clear" w:color="auto" w:fill="auto"/>
            <w:vAlign w:val="bottom"/>
          </w:tcPr>
          <w:p>
            <w:pPr>
              <w:rPr>
                <w:rFonts w:ascii="宋体" w:hAnsi="宋体" w:eastAsia="宋体" w:cs="宋体"/>
                <w:color w:val="000000"/>
                <w:sz w:val="24"/>
              </w:rPr>
            </w:pPr>
          </w:p>
        </w:tc>
        <w:tc>
          <w:tcPr>
            <w:tcW w:w="1081" w:type="dxa"/>
            <w:shd w:val="clear" w:color="auto" w:fill="auto"/>
            <w:vAlign w:val="bottom"/>
          </w:tcPr>
          <w:p>
            <w:pPr>
              <w:rPr>
                <w:rFonts w:ascii="宋体" w:hAnsi="宋体" w:eastAsia="宋体" w:cs="宋体"/>
                <w:color w:val="000000"/>
                <w:sz w:val="24"/>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15" w:type="dxa"/>
            <w:left w:w="15" w:type="dxa"/>
            <w:bottom w:w="15" w:type="dxa"/>
            <w:right w:w="15" w:type="dxa"/>
          </w:tblCellMar>
        </w:tblPrEx>
        <w:trPr>
          <w:trHeight w:val="301" w:hRule="atLeast"/>
          <w:jc w:val="center"/>
        </w:trPr>
        <w:tc>
          <w:tcPr>
            <w:tcW w:w="555" w:type="dxa"/>
            <w:shd w:val="clear" w:color="auto" w:fill="FFFFFF"/>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p>
        </w:tc>
        <w:tc>
          <w:tcPr>
            <w:tcW w:w="2401" w:type="dxa"/>
            <w:gridSpan w:val="2"/>
            <w:shd w:val="clear" w:color="auto" w:fill="FFFFFF"/>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怀来县新保安镇人民政府</w:t>
            </w:r>
          </w:p>
        </w:tc>
        <w:tc>
          <w:tcPr>
            <w:tcW w:w="1996"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1080" w:type="dxa"/>
            <w:shd w:val="clear" w:color="auto" w:fill="FFFFFF"/>
            <w:vAlign w:val="center"/>
          </w:tcPr>
          <w:p>
            <w:pPr>
              <w:rPr>
                <w:rFonts w:ascii="宋体" w:hAnsi="宋体" w:eastAsia="宋体" w:cs="宋体"/>
                <w:color w:val="000000"/>
                <w:sz w:val="20"/>
                <w:szCs w:val="20"/>
              </w:rPr>
            </w:pPr>
          </w:p>
        </w:tc>
        <w:tc>
          <w:tcPr>
            <w:tcW w:w="1080" w:type="dxa"/>
            <w:shd w:val="clear" w:color="auto" w:fill="FFFFFF"/>
            <w:vAlign w:val="center"/>
          </w:tcPr>
          <w:p>
            <w:pPr>
              <w:rPr>
                <w:rFonts w:ascii="宋体" w:hAnsi="宋体" w:eastAsia="宋体" w:cs="宋体"/>
                <w:color w:val="000000"/>
                <w:sz w:val="20"/>
                <w:szCs w:val="20"/>
              </w:rPr>
            </w:pPr>
          </w:p>
        </w:tc>
        <w:tc>
          <w:tcPr>
            <w:tcW w:w="1081" w:type="dxa"/>
            <w:shd w:val="clear" w:color="auto" w:fill="FFFFFF"/>
            <w:vAlign w:val="center"/>
          </w:tcPr>
          <w:p>
            <w:pPr>
              <w:rPr>
                <w:rFonts w:ascii="宋体" w:hAnsi="宋体" w:eastAsia="宋体" w:cs="宋体"/>
                <w:color w:val="000000"/>
                <w:sz w:val="20"/>
                <w:szCs w:val="20"/>
              </w:rPr>
            </w:pPr>
          </w:p>
        </w:tc>
        <w:tc>
          <w:tcPr>
            <w:tcW w:w="1077" w:type="dxa"/>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405"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Style w:val="16"/>
                <w:rFonts w:hint="default"/>
                <w:b/>
                <w:bCs/>
                <w:lang w:bidi="ar"/>
              </w:rPr>
              <w:t>目</w:t>
            </w:r>
          </w:p>
        </w:tc>
        <w:tc>
          <w:tcPr>
            <w:tcW w:w="19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年初结转和结余</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本年收入</w:t>
            </w:r>
          </w:p>
        </w:tc>
        <w:tc>
          <w:tcPr>
            <w:tcW w:w="32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年末结转和结余</w:t>
            </w:r>
          </w:p>
        </w:tc>
      </w:tr>
      <w:tr>
        <w:tblPrEx>
          <w:tblCellMar>
            <w:top w:w="15" w:type="dxa"/>
            <w:left w:w="15" w:type="dxa"/>
            <w:bottom w:w="15" w:type="dxa"/>
            <w:right w:w="15" w:type="dxa"/>
          </w:tblCellMar>
        </w:tblPrEx>
        <w:trPr>
          <w:trHeight w:val="540" w:hRule="atLeast"/>
          <w:jc w:val="center"/>
        </w:trPr>
        <w:tc>
          <w:tcPr>
            <w:tcW w:w="1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4"/>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小计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4"/>
              </w:rPr>
            </w:pPr>
          </w:p>
        </w:tc>
      </w:tr>
      <w:tr>
        <w:tblPrEx>
          <w:tblCellMar>
            <w:top w:w="15" w:type="dxa"/>
            <w:left w:w="15" w:type="dxa"/>
            <w:bottom w:w="15" w:type="dxa"/>
            <w:right w:w="15" w:type="dxa"/>
          </w:tblCellMar>
        </w:tblPrEx>
        <w:trPr>
          <w:trHeight w:val="36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9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6</w:t>
            </w:r>
          </w:p>
        </w:tc>
      </w:tr>
      <w:tr>
        <w:tblPrEx>
          <w:tblCellMar>
            <w:top w:w="15" w:type="dxa"/>
            <w:left w:w="15" w:type="dxa"/>
            <w:bottom w:w="15" w:type="dxa"/>
            <w:right w:w="15" w:type="dxa"/>
          </w:tblCellMar>
        </w:tblPrEx>
        <w:trPr>
          <w:trHeight w:val="450" w:hRule="atLeast"/>
          <w:jc w:val="center"/>
        </w:trPr>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0"/>
                <w:szCs w:val="20"/>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450" w:hRule="atLeast"/>
          <w:jc w:val="center"/>
        </w:trPr>
        <w:tc>
          <w:tcPr>
            <w:tcW w:w="16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32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r>
      <w:tr>
        <w:tblPrEx>
          <w:tblCellMar>
            <w:top w:w="15" w:type="dxa"/>
            <w:left w:w="15" w:type="dxa"/>
            <w:bottom w:w="15" w:type="dxa"/>
            <w:right w:w="15" w:type="dxa"/>
          </w:tblCellMar>
        </w:tblPrEx>
        <w:trPr>
          <w:trHeight w:val="645" w:hRule="atLeast"/>
          <w:jc w:val="center"/>
        </w:trPr>
        <w:tc>
          <w:tcPr>
            <w:tcW w:w="10350" w:type="dxa"/>
            <w:gridSpan w:val="9"/>
            <w:shd w:val="clear" w:color="auto" w:fill="auto"/>
            <w:vAlign w:val="center"/>
          </w:tcPr>
          <w:p>
            <w:pPr>
              <w:rPr>
                <w:rFonts w:ascii="宋体" w:hAnsi="宋体" w:eastAsia="宋体" w:cs="宋体"/>
                <w:highlight w:val="yellow"/>
              </w:rPr>
            </w:pPr>
            <w:r>
              <w:rPr>
                <w:rFonts w:hint="eastAsia" w:ascii="宋体" w:hAnsi="宋体" w:eastAsia="宋体" w:cs="宋体"/>
                <w:color w:val="000000"/>
                <w:kern w:val="0"/>
                <w:sz w:val="24"/>
                <w:szCs w:val="24"/>
                <w:lang w:bidi="ar"/>
              </w:rPr>
              <w:t>注：本表反映部门本年度政府性基金预算财政拨款收入、支出及结转和结余情况。</w:t>
            </w:r>
          </w:p>
          <w:p>
            <w:pPr>
              <w:rPr>
                <w:rFonts w:hint="eastAsia" w:ascii="宋体" w:hAnsi="宋体" w:eastAsia="宋体" w:cs="宋体"/>
                <w:color w:val="000000"/>
                <w:sz w:val="24"/>
              </w:rPr>
            </w:pPr>
            <w:r>
              <w:rPr>
                <w:rFonts w:ascii="宋体" w:hAnsi="宋体" w:eastAsia="宋体" w:cs="宋体"/>
                <w:color w:val="000000"/>
                <w:sz w:val="24"/>
              </w:rPr>
              <w:t>本</w:t>
            </w:r>
            <w:r>
              <w:rPr>
                <w:rFonts w:hint="eastAsia" w:ascii="宋体" w:hAnsi="宋体" w:eastAsia="宋体" w:cs="宋体"/>
                <w:color w:val="000000"/>
                <w:sz w:val="24"/>
              </w:rPr>
              <w:t>单位</w:t>
            </w:r>
            <w:r>
              <w:rPr>
                <w:rFonts w:ascii="宋体" w:hAnsi="宋体" w:eastAsia="宋体" w:cs="宋体"/>
                <w:color w:val="000000"/>
                <w:sz w:val="24"/>
              </w:rPr>
              <w:t>本年度无相关收入支出及结转结余情况，按要求空表列示</w:t>
            </w:r>
          </w:p>
        </w:tc>
      </w:tr>
    </w:tbl>
    <w:p>
      <w:pPr>
        <w:sectPr>
          <w:pgSz w:w="11906" w:h="16838"/>
          <w:pgMar w:top="1474" w:right="1474" w:bottom="1474" w:left="1474" w:header="851" w:footer="992" w:gutter="0"/>
          <w:cols w:space="0" w:num="1"/>
          <w:docGrid w:type="lines" w:linePitch="312" w:charSpace="0"/>
        </w:sectPr>
      </w:pPr>
    </w:p>
    <w:tbl>
      <w:tblPr>
        <w:tblStyle w:val="6"/>
        <w:tblW w:w="10422" w:type="dxa"/>
        <w:jc w:val="center"/>
        <w:tblLayout w:type="fixed"/>
        <w:tblCellMar>
          <w:top w:w="15" w:type="dxa"/>
          <w:left w:w="15" w:type="dxa"/>
          <w:bottom w:w="15" w:type="dxa"/>
          <w:right w:w="15" w:type="dxa"/>
        </w:tblCellMar>
      </w:tblPr>
      <w:tblGrid>
        <w:gridCol w:w="1016"/>
        <w:gridCol w:w="176"/>
        <w:gridCol w:w="819"/>
        <w:gridCol w:w="1056"/>
        <w:gridCol w:w="2419"/>
        <w:gridCol w:w="762"/>
        <w:gridCol w:w="1036"/>
        <w:gridCol w:w="977"/>
        <w:gridCol w:w="2161"/>
      </w:tblGrid>
      <w:tr>
        <w:tblPrEx>
          <w:tblCellMar>
            <w:top w:w="15" w:type="dxa"/>
            <w:left w:w="15" w:type="dxa"/>
            <w:bottom w:w="15" w:type="dxa"/>
            <w:right w:w="15" w:type="dxa"/>
          </w:tblCellMar>
        </w:tblPrEx>
        <w:trPr>
          <w:trHeight w:val="720" w:hRule="atLeast"/>
          <w:jc w:val="center"/>
        </w:trPr>
        <w:tc>
          <w:tcPr>
            <w:tcW w:w="10422" w:type="dxa"/>
            <w:gridSpan w:val="9"/>
            <w:shd w:val="clear" w:color="auto" w:fill="FFFFFF"/>
            <w:vAlign w:val="center"/>
          </w:tcPr>
          <w:p>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国有资本经营预算财政拨款支出决算表</w:t>
            </w:r>
          </w:p>
        </w:tc>
      </w:tr>
      <w:tr>
        <w:tblPrEx>
          <w:tblCellMar>
            <w:top w:w="15" w:type="dxa"/>
            <w:left w:w="15" w:type="dxa"/>
            <w:bottom w:w="15" w:type="dxa"/>
            <w:right w:w="15" w:type="dxa"/>
          </w:tblCellMar>
        </w:tblPrEx>
        <w:trPr>
          <w:trHeight w:val="286" w:hRule="atLeast"/>
          <w:jc w:val="center"/>
        </w:trPr>
        <w:tc>
          <w:tcPr>
            <w:tcW w:w="1016" w:type="dxa"/>
            <w:shd w:val="clear" w:color="auto" w:fill="FFFFFF"/>
            <w:vAlign w:val="center"/>
          </w:tcPr>
          <w:p>
            <w:pPr>
              <w:jc w:val="center"/>
              <w:rPr>
                <w:rFonts w:ascii="宋体" w:hAnsi="宋体" w:eastAsia="宋体" w:cs="宋体"/>
                <w:color w:val="000000"/>
                <w:sz w:val="20"/>
                <w:szCs w:val="20"/>
              </w:rPr>
            </w:pPr>
          </w:p>
        </w:tc>
        <w:tc>
          <w:tcPr>
            <w:tcW w:w="995" w:type="dxa"/>
            <w:gridSpan w:val="2"/>
            <w:shd w:val="clear" w:color="auto" w:fill="FFFFFF"/>
            <w:vAlign w:val="center"/>
          </w:tcPr>
          <w:p>
            <w:pPr>
              <w:jc w:val="center"/>
              <w:rPr>
                <w:rFonts w:ascii="宋体" w:hAnsi="宋体" w:eastAsia="宋体" w:cs="宋体"/>
                <w:color w:val="000000"/>
                <w:sz w:val="20"/>
                <w:szCs w:val="20"/>
              </w:rPr>
            </w:pPr>
          </w:p>
        </w:tc>
        <w:tc>
          <w:tcPr>
            <w:tcW w:w="1056" w:type="dxa"/>
            <w:shd w:val="clear" w:color="auto" w:fill="FFFFFF"/>
            <w:vAlign w:val="center"/>
          </w:tcPr>
          <w:p>
            <w:pPr>
              <w:jc w:val="center"/>
              <w:rPr>
                <w:rFonts w:ascii="宋体" w:hAnsi="宋体" w:eastAsia="宋体" w:cs="宋体"/>
                <w:color w:val="000000"/>
                <w:sz w:val="20"/>
                <w:szCs w:val="20"/>
              </w:rPr>
            </w:pPr>
          </w:p>
        </w:tc>
        <w:tc>
          <w:tcPr>
            <w:tcW w:w="3181" w:type="dxa"/>
            <w:gridSpan w:val="2"/>
            <w:shd w:val="clear" w:color="auto" w:fill="FFFFFF"/>
            <w:vAlign w:val="center"/>
          </w:tcPr>
          <w:p>
            <w:pPr>
              <w:rPr>
                <w:rFonts w:ascii="宋体" w:hAnsi="宋体" w:eastAsia="宋体" w:cs="宋体"/>
                <w:color w:val="000000"/>
                <w:sz w:val="20"/>
                <w:szCs w:val="20"/>
              </w:rPr>
            </w:pP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15" w:type="dxa"/>
            <w:left w:w="15" w:type="dxa"/>
            <w:bottom w:w="15" w:type="dxa"/>
            <w:right w:w="15" w:type="dxa"/>
          </w:tblCellMar>
        </w:tblPrEx>
        <w:trPr>
          <w:trHeight w:val="286" w:hRule="atLeast"/>
          <w:jc w:val="center"/>
        </w:trPr>
        <w:tc>
          <w:tcPr>
            <w:tcW w:w="3067" w:type="dxa"/>
            <w:gridSpan w:val="4"/>
            <w:shd w:val="clear" w:color="auto" w:fill="FFFFFF"/>
            <w:vAlign w:val="center"/>
          </w:tcPr>
          <w:p>
            <w:pPr>
              <w:jc w:val="both"/>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rPr>
              <w:t>怀来县新保安镇人民政府</w:t>
            </w:r>
          </w:p>
        </w:tc>
        <w:tc>
          <w:tcPr>
            <w:tcW w:w="3181" w:type="dxa"/>
            <w:gridSpan w:val="2"/>
            <w:shd w:val="clear" w:color="auto" w:fill="FFFFFF"/>
            <w:vAlign w:val="center"/>
          </w:tcPr>
          <w:p>
            <w:pPr>
              <w:ind w:firstLine="1800" w:firstLineChars="900"/>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1036" w:type="dxa"/>
            <w:shd w:val="clear" w:color="auto" w:fill="FFFFFF"/>
            <w:vAlign w:val="center"/>
          </w:tcPr>
          <w:p>
            <w:pPr>
              <w:rPr>
                <w:rFonts w:ascii="宋体" w:hAnsi="宋体" w:eastAsia="宋体" w:cs="宋体"/>
                <w:color w:val="000000"/>
                <w:sz w:val="20"/>
                <w:szCs w:val="20"/>
              </w:rPr>
            </w:pPr>
          </w:p>
        </w:tc>
        <w:tc>
          <w:tcPr>
            <w:tcW w:w="3138" w:type="dxa"/>
            <w:gridSpan w:val="2"/>
            <w:shd w:val="clear" w:color="auto" w:fill="FFFFFF"/>
            <w:vAlign w:val="center"/>
          </w:tcPr>
          <w:p>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项 </w:t>
            </w:r>
            <w:r>
              <w:rPr>
                <w:rFonts w:hint="eastAsia" w:ascii="宋体" w:hAnsi="宋体" w:eastAsia="宋体" w:cs="宋体"/>
                <w:b/>
                <w:bCs/>
                <w:color w:val="000000"/>
                <w:kern w:val="0"/>
                <w:sz w:val="22"/>
                <w:lang w:bidi="ar"/>
              </w:rPr>
              <w:t xml:space="preserve">   </w:t>
            </w:r>
            <w:r>
              <w:rPr>
                <w:rFonts w:hint="eastAsia" w:ascii="宋体" w:hAnsi="宋体" w:eastAsia="宋体" w:cs="宋体"/>
                <w:b/>
                <w:bCs/>
                <w:color w:val="000000"/>
                <w:kern w:val="0"/>
                <w:sz w:val="24"/>
                <w:szCs w:val="24"/>
                <w:lang w:bidi="ar"/>
              </w:rPr>
              <w:t>目</w:t>
            </w:r>
          </w:p>
        </w:tc>
        <w:tc>
          <w:tcPr>
            <w:tcW w:w="73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本年支出</w:t>
            </w:r>
          </w:p>
        </w:tc>
      </w:tr>
      <w:tr>
        <w:tblPrEx>
          <w:tblCellMar>
            <w:top w:w="15" w:type="dxa"/>
            <w:left w:w="15" w:type="dxa"/>
            <w:bottom w:w="15" w:type="dxa"/>
            <w:right w:w="15" w:type="dxa"/>
          </w:tblCellMar>
        </w:tblPrEx>
        <w:trPr>
          <w:trHeight w:val="390" w:hRule="atLeast"/>
          <w:jc w:val="center"/>
        </w:trPr>
        <w:tc>
          <w:tcPr>
            <w:tcW w:w="11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科目代码</w:t>
            </w:r>
          </w:p>
        </w:tc>
        <w:tc>
          <w:tcPr>
            <w:tcW w:w="18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科目名称</w:t>
            </w:r>
          </w:p>
        </w:tc>
        <w:tc>
          <w:tcPr>
            <w:tcW w:w="2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合计</w:t>
            </w:r>
          </w:p>
        </w:tc>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 xml:space="preserve">基本支出  </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szCs w:val="24"/>
                <w:lang w:bidi="ar"/>
              </w:rPr>
              <w:t>项目支出</w:t>
            </w:r>
          </w:p>
        </w:tc>
      </w:tr>
      <w:tr>
        <w:tblPrEx>
          <w:tblCellMar>
            <w:top w:w="15" w:type="dxa"/>
            <w:left w:w="15" w:type="dxa"/>
            <w:bottom w:w="15" w:type="dxa"/>
            <w:right w:w="15" w:type="dxa"/>
          </w:tblCellMar>
        </w:tblPrEx>
        <w:trPr>
          <w:trHeight w:val="390"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12" w:hRule="atLeast"/>
          <w:jc w:val="center"/>
        </w:trPr>
        <w:tc>
          <w:tcPr>
            <w:tcW w:w="11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18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栏次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2</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3</w:t>
            </w:r>
          </w:p>
        </w:tc>
      </w:tr>
      <w:tr>
        <w:tblPrEx>
          <w:tblCellMar>
            <w:top w:w="15" w:type="dxa"/>
            <w:left w:w="15" w:type="dxa"/>
            <w:bottom w:w="15" w:type="dxa"/>
            <w:right w:w="15" w:type="dxa"/>
          </w:tblCellMar>
        </w:tblPrEx>
        <w:trPr>
          <w:trHeight w:val="390" w:hRule="atLeast"/>
          <w:jc w:val="center"/>
        </w:trPr>
        <w:tc>
          <w:tcPr>
            <w:tcW w:w="3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szCs w:val="24"/>
                <w:lang w:bidi="ar"/>
              </w:rPr>
              <w:t>合计</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rPr>
            </w:pP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国有资本经营预算支出</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解决历史遗留问题及改革成本支出</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r>
      <w:tr>
        <w:tblPrEx>
          <w:tblCellMar>
            <w:top w:w="15" w:type="dxa"/>
            <w:left w:w="15" w:type="dxa"/>
            <w:bottom w:w="15" w:type="dxa"/>
            <w:right w:w="15" w:type="dxa"/>
          </w:tblCellMar>
        </w:tblPrEx>
        <w:trPr>
          <w:trHeight w:val="390" w:hRule="atLeast"/>
          <w:jc w:val="center"/>
        </w:trPr>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2230105</w:t>
            </w:r>
          </w:p>
        </w:tc>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eastAsiaTheme="minorEastAsia" w:cstheme="minorBidi"/>
                <w:color w:val="000000"/>
                <w:kern w:val="2"/>
                <w:sz w:val="20"/>
                <w:szCs w:val="20"/>
                <w:lang w:val="en-US" w:eastAsia="zh-CN" w:bidi="ar-SA"/>
              </w:rPr>
            </w:pPr>
            <w:r>
              <w:rPr>
                <w:rFonts w:hint="eastAsia" w:ascii="宋体" w:hAnsi="宋体"/>
                <w:color w:val="000000"/>
                <w:sz w:val="20"/>
                <w:szCs w:val="20"/>
              </w:rPr>
              <w:t>国有企业退休人员社会化管理补助支出</w:t>
            </w:r>
          </w:p>
        </w:tc>
        <w:tc>
          <w:tcPr>
            <w:tcW w:w="24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4"/>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color w:val="000000"/>
                <w:kern w:val="2"/>
                <w:sz w:val="24"/>
                <w:szCs w:val="22"/>
                <w:lang w:val="en-US" w:eastAsia="zh-CN" w:bidi="ar-SA"/>
              </w:rPr>
            </w:pPr>
            <w:r>
              <w:rPr>
                <w:rFonts w:hint="eastAsia" w:ascii="宋体" w:hAnsi="宋体" w:eastAsia="宋体" w:cs="宋体"/>
                <w:color w:val="000000"/>
                <w:sz w:val="24"/>
                <w:lang w:val="en-US" w:eastAsia="zh-CN"/>
              </w:rPr>
              <w:t>65.65</w:t>
            </w:r>
          </w:p>
        </w:tc>
      </w:tr>
      <w:tr>
        <w:tblPrEx>
          <w:tblCellMar>
            <w:top w:w="15" w:type="dxa"/>
            <w:left w:w="15" w:type="dxa"/>
            <w:bottom w:w="15" w:type="dxa"/>
            <w:right w:w="15" w:type="dxa"/>
          </w:tblCellMar>
        </w:tblPrEx>
        <w:trPr>
          <w:trHeight w:val="720" w:hRule="atLeast"/>
          <w:jc w:val="center"/>
        </w:trPr>
        <w:tc>
          <w:tcPr>
            <w:tcW w:w="10422" w:type="dxa"/>
            <w:gridSpan w:val="9"/>
            <w:shd w:val="clear" w:color="auto" w:fill="auto"/>
            <w:vAlign w:val="center"/>
          </w:tcPr>
          <w:p>
            <w:pPr>
              <w:rPr>
                <w:b/>
              </w:rPr>
            </w:pPr>
            <w:r>
              <w:rPr>
                <w:rFonts w:hint="eastAsia" w:ascii="宋体" w:hAnsi="宋体" w:eastAsia="宋体" w:cs="宋体"/>
                <w:color w:val="000000"/>
                <w:kern w:val="0"/>
                <w:sz w:val="24"/>
                <w:szCs w:val="24"/>
                <w:lang w:bidi="ar"/>
              </w:rPr>
              <w:t>注：本表反映部门本年度国有资本经营预算财政拨款支出情况。</w:t>
            </w:r>
          </w:p>
          <w:p>
            <w:pPr>
              <w:widowControl/>
              <w:jc w:val="left"/>
              <w:textAlignment w:val="center"/>
              <w:rPr>
                <w:rFonts w:ascii="宋体" w:hAnsi="宋体" w:eastAsia="宋体" w:cs="宋体"/>
                <w:color w:val="000000"/>
                <w:sz w:val="24"/>
              </w:rPr>
            </w:pPr>
          </w:p>
        </w:tc>
      </w:tr>
    </w:tbl>
    <w:p>
      <w:pPr>
        <w:sectPr>
          <w:pgSz w:w="11906" w:h="16838"/>
          <w:pgMar w:top="1474" w:right="1474" w:bottom="1474" w:left="1474" w:header="851" w:footer="992" w:gutter="0"/>
          <w:cols w:space="0" w:num="1"/>
          <w:docGrid w:type="lines" w:linePitch="312" w:charSpace="0"/>
        </w:sectPr>
      </w:pPr>
    </w:p>
    <w:tbl>
      <w:tblPr>
        <w:tblStyle w:val="6"/>
        <w:tblW w:w="13090" w:type="dxa"/>
        <w:tblInd w:w="-552" w:type="dxa"/>
        <w:tblLayout w:type="fixed"/>
        <w:tblCellMar>
          <w:top w:w="15" w:type="dxa"/>
          <w:left w:w="15" w:type="dxa"/>
          <w:bottom w:w="15" w:type="dxa"/>
          <w:right w:w="15" w:type="dxa"/>
        </w:tblCellMar>
      </w:tblPr>
      <w:tblGrid>
        <w:gridCol w:w="723"/>
        <w:gridCol w:w="468"/>
        <w:gridCol w:w="357"/>
        <w:gridCol w:w="711"/>
        <w:gridCol w:w="77"/>
        <w:gridCol w:w="881"/>
        <w:gridCol w:w="97"/>
        <w:gridCol w:w="803"/>
        <w:gridCol w:w="252"/>
        <w:gridCol w:w="1056"/>
        <w:gridCol w:w="240"/>
        <w:gridCol w:w="740"/>
        <w:gridCol w:w="768"/>
        <w:gridCol w:w="492"/>
        <w:gridCol w:w="165"/>
        <w:gridCol w:w="731"/>
        <w:gridCol w:w="172"/>
        <w:gridCol w:w="803"/>
        <w:gridCol w:w="252"/>
        <w:gridCol w:w="939"/>
        <w:gridCol w:w="116"/>
        <w:gridCol w:w="240"/>
        <w:gridCol w:w="240"/>
        <w:gridCol w:w="1767"/>
      </w:tblGrid>
      <w:tr>
        <w:tblPrEx>
          <w:tblCellMar>
            <w:top w:w="15" w:type="dxa"/>
            <w:left w:w="15" w:type="dxa"/>
            <w:bottom w:w="15" w:type="dxa"/>
            <w:right w:w="15" w:type="dxa"/>
          </w:tblCellMar>
        </w:tblPrEx>
        <w:trPr>
          <w:gridAfter w:val="4"/>
          <w:wAfter w:w="2363" w:type="dxa"/>
          <w:trHeight w:val="600" w:hRule="atLeast"/>
        </w:trPr>
        <w:tc>
          <w:tcPr>
            <w:tcW w:w="10727" w:type="dxa"/>
            <w:gridSpan w:val="20"/>
            <w:shd w:val="clear" w:color="auto" w:fill="FFFFFF"/>
            <w:vAlign w:val="center"/>
          </w:tcPr>
          <w:p>
            <w:pPr>
              <w:widowControl/>
              <w:jc w:val="center"/>
              <w:textAlignment w:val="center"/>
              <w:rPr>
                <w:rFonts w:ascii="华文中宋" w:hAnsi="华文中宋" w:eastAsia="华文中宋" w:cs="华文中宋"/>
                <w:b/>
                <w:bCs/>
                <w:color w:val="000000"/>
                <w:sz w:val="32"/>
                <w:szCs w:val="32"/>
              </w:rPr>
            </w:pPr>
            <w:r>
              <w:rPr>
                <w:rFonts w:hint="eastAsia" w:ascii="华文中宋" w:hAnsi="华文中宋" w:eastAsia="华文中宋" w:cs="华文中宋"/>
                <w:b/>
                <w:bCs/>
                <w:color w:val="000000"/>
                <w:kern w:val="0"/>
                <w:sz w:val="32"/>
                <w:szCs w:val="32"/>
                <w:lang w:bidi="ar"/>
              </w:rPr>
              <w:t>财政拨款“三公”经费支出决算表</w:t>
            </w:r>
          </w:p>
        </w:tc>
      </w:tr>
      <w:tr>
        <w:tblPrEx>
          <w:tblCellMar>
            <w:top w:w="15" w:type="dxa"/>
            <w:left w:w="15" w:type="dxa"/>
            <w:bottom w:w="15" w:type="dxa"/>
            <w:right w:w="15" w:type="dxa"/>
          </w:tblCellMar>
        </w:tblPrEx>
        <w:trPr>
          <w:gridAfter w:val="1"/>
          <w:wAfter w:w="1767" w:type="dxa"/>
          <w:trHeight w:val="211" w:hRule="atLeast"/>
        </w:trPr>
        <w:tc>
          <w:tcPr>
            <w:tcW w:w="1191" w:type="dxa"/>
            <w:gridSpan w:val="2"/>
            <w:shd w:val="clear" w:color="auto" w:fill="auto"/>
            <w:vAlign w:val="center"/>
          </w:tcPr>
          <w:p>
            <w:pPr>
              <w:jc w:val="center"/>
              <w:rPr>
                <w:rFonts w:ascii="宋体" w:hAnsi="宋体" w:eastAsia="宋体" w:cs="宋体"/>
                <w:color w:val="000000"/>
                <w:sz w:val="24"/>
              </w:rPr>
            </w:pPr>
          </w:p>
        </w:tc>
        <w:tc>
          <w:tcPr>
            <w:tcW w:w="1068" w:type="dxa"/>
            <w:gridSpan w:val="2"/>
            <w:shd w:val="clear" w:color="auto" w:fill="auto"/>
            <w:vAlign w:val="center"/>
          </w:tcPr>
          <w:p>
            <w:pPr>
              <w:jc w:val="center"/>
              <w:rPr>
                <w:rFonts w:ascii="宋体" w:hAnsi="宋体" w:eastAsia="宋体" w:cs="宋体"/>
                <w:color w:val="000000"/>
                <w:sz w:val="24"/>
              </w:rPr>
            </w:pPr>
          </w:p>
        </w:tc>
        <w:tc>
          <w:tcPr>
            <w:tcW w:w="1055" w:type="dxa"/>
            <w:gridSpan w:val="3"/>
            <w:shd w:val="clear" w:color="auto" w:fill="auto"/>
            <w:vAlign w:val="center"/>
          </w:tcPr>
          <w:p>
            <w:pPr>
              <w:jc w:val="center"/>
              <w:rPr>
                <w:rFonts w:ascii="宋体" w:hAnsi="宋体" w:eastAsia="宋体" w:cs="宋体"/>
                <w:color w:val="000000"/>
                <w:sz w:val="24"/>
              </w:rPr>
            </w:pPr>
          </w:p>
        </w:tc>
        <w:tc>
          <w:tcPr>
            <w:tcW w:w="1055" w:type="dxa"/>
            <w:gridSpan w:val="2"/>
            <w:shd w:val="clear" w:color="auto" w:fill="auto"/>
            <w:vAlign w:val="center"/>
          </w:tcPr>
          <w:p>
            <w:pPr>
              <w:rPr>
                <w:rFonts w:ascii="宋体" w:hAnsi="宋体" w:eastAsia="宋体" w:cs="宋体"/>
                <w:color w:val="000000"/>
                <w:sz w:val="24"/>
              </w:rPr>
            </w:pPr>
          </w:p>
        </w:tc>
        <w:tc>
          <w:tcPr>
            <w:tcW w:w="1056" w:type="dxa"/>
            <w:shd w:val="clear" w:color="auto" w:fill="auto"/>
            <w:vAlign w:val="center"/>
          </w:tcPr>
          <w:p>
            <w:pPr>
              <w:rPr>
                <w:rFonts w:ascii="宋体" w:hAnsi="宋体" w:eastAsia="宋体" w:cs="宋体"/>
                <w:color w:val="000000"/>
                <w:sz w:val="24"/>
              </w:rPr>
            </w:pPr>
          </w:p>
        </w:tc>
        <w:tc>
          <w:tcPr>
            <w:tcW w:w="240" w:type="dxa"/>
            <w:shd w:val="clear" w:color="auto" w:fill="auto"/>
            <w:vAlign w:val="center"/>
          </w:tcPr>
          <w:p>
            <w:pPr>
              <w:widowControl/>
              <w:jc w:val="right"/>
              <w:textAlignment w:val="center"/>
              <w:rPr>
                <w:rFonts w:ascii="宋体" w:hAnsi="宋体" w:eastAsia="宋体" w:cs="宋体"/>
                <w:color w:val="000000"/>
                <w:sz w:val="24"/>
              </w:rPr>
            </w:pPr>
          </w:p>
        </w:tc>
        <w:tc>
          <w:tcPr>
            <w:tcW w:w="2000" w:type="dxa"/>
            <w:gridSpan w:val="3"/>
            <w:shd w:val="clear" w:color="auto" w:fill="auto"/>
            <w:vAlign w:val="bottom"/>
          </w:tcPr>
          <w:p>
            <w:pPr>
              <w:jc w:val="right"/>
              <w:rPr>
                <w:rFonts w:ascii="宋体" w:hAnsi="宋体" w:eastAsia="宋体" w:cs="宋体"/>
                <w:color w:val="000000"/>
                <w:sz w:val="24"/>
              </w:rPr>
            </w:pPr>
          </w:p>
        </w:tc>
        <w:tc>
          <w:tcPr>
            <w:tcW w:w="1068" w:type="dxa"/>
            <w:gridSpan w:val="3"/>
            <w:shd w:val="clear" w:color="auto" w:fill="auto"/>
            <w:vAlign w:val="bottom"/>
          </w:tcPr>
          <w:p>
            <w:pPr>
              <w:wordWrap w:val="0"/>
              <w:jc w:val="right"/>
              <w:rPr>
                <w:rFonts w:ascii="宋体" w:hAnsi="宋体" w:eastAsia="宋体" w:cs="宋体"/>
                <w:color w:val="000000"/>
                <w:sz w:val="24"/>
              </w:rPr>
            </w:pPr>
            <w:r>
              <w:rPr>
                <w:rFonts w:hint="eastAsia" w:ascii="宋体" w:hAnsi="宋体" w:eastAsia="宋体" w:cs="宋体"/>
                <w:color w:val="000000"/>
                <w:sz w:val="24"/>
                <w:szCs w:val="24"/>
              </w:rPr>
              <w:t xml:space="preserve">    </w:t>
            </w:r>
          </w:p>
        </w:tc>
        <w:tc>
          <w:tcPr>
            <w:tcW w:w="1055" w:type="dxa"/>
            <w:gridSpan w:val="2"/>
            <w:shd w:val="clear" w:color="auto" w:fill="auto"/>
            <w:vAlign w:val="bottom"/>
          </w:tcPr>
          <w:p>
            <w:pPr>
              <w:jc w:val="right"/>
              <w:rPr>
                <w:rFonts w:ascii="宋体" w:hAnsi="宋体" w:eastAsia="宋体" w:cs="宋体"/>
                <w:color w:val="000000"/>
                <w:sz w:val="24"/>
              </w:rPr>
            </w:pPr>
          </w:p>
        </w:tc>
        <w:tc>
          <w:tcPr>
            <w:tcW w:w="1055" w:type="dxa"/>
            <w:gridSpan w:val="2"/>
            <w:shd w:val="clear" w:color="auto" w:fill="auto"/>
            <w:vAlign w:val="bottom"/>
          </w:tcPr>
          <w:p>
            <w:pPr>
              <w:jc w:val="left"/>
              <w:rPr>
                <w:rFonts w:ascii="宋体" w:hAnsi="宋体" w:eastAsia="宋体" w:cs="宋体"/>
                <w:color w:val="000000"/>
                <w:sz w:val="24"/>
              </w:rPr>
            </w:pPr>
            <w:r>
              <w:rPr>
                <w:rFonts w:hint="eastAsia" w:ascii="宋体" w:hAnsi="宋体" w:eastAsia="宋体" w:cs="宋体"/>
                <w:color w:val="000000"/>
                <w:szCs w:val="21"/>
              </w:rPr>
              <w:t>公开09表</w:t>
            </w:r>
          </w:p>
        </w:tc>
        <w:tc>
          <w:tcPr>
            <w:tcW w:w="240" w:type="dxa"/>
            <w:shd w:val="clear" w:color="auto" w:fill="auto"/>
            <w:vAlign w:val="bottom"/>
          </w:tcPr>
          <w:p>
            <w:pPr>
              <w:rPr>
                <w:rFonts w:ascii="宋体" w:hAnsi="宋体" w:eastAsia="宋体" w:cs="宋体"/>
                <w:color w:val="000000"/>
                <w:sz w:val="24"/>
              </w:rPr>
            </w:pP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1"/>
          <w:wAfter w:w="1767" w:type="dxa"/>
          <w:trHeight w:val="301" w:hRule="atLeast"/>
        </w:trPr>
        <w:tc>
          <w:tcPr>
            <w:tcW w:w="3314" w:type="dxa"/>
            <w:gridSpan w:val="7"/>
            <w:shd w:val="clear" w:color="auto" w:fill="FFFFFF"/>
            <w:vAlign w:val="center"/>
          </w:tcPr>
          <w:p>
            <w:pPr>
              <w:jc w:val="both"/>
              <w:rPr>
                <w:rFonts w:ascii="宋体" w:hAnsi="宋体" w:eastAsia="宋体" w:cs="宋体"/>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rPr>
              <w:t>怀来县新保安镇人民政府</w:t>
            </w:r>
          </w:p>
        </w:tc>
        <w:tc>
          <w:tcPr>
            <w:tcW w:w="1055" w:type="dxa"/>
            <w:gridSpan w:val="2"/>
            <w:shd w:val="clear" w:color="auto" w:fill="FFFFFF"/>
            <w:vAlign w:val="center"/>
          </w:tcPr>
          <w:p>
            <w:pPr>
              <w:jc w:val="right"/>
              <w:rPr>
                <w:rFonts w:ascii="宋体" w:hAnsi="宋体" w:eastAsia="宋体" w:cs="宋体"/>
                <w:color w:val="000000"/>
                <w:sz w:val="20"/>
                <w:szCs w:val="20"/>
              </w:rPr>
            </w:pPr>
          </w:p>
        </w:tc>
        <w:tc>
          <w:tcPr>
            <w:tcW w:w="1056" w:type="dxa"/>
            <w:shd w:val="clear" w:color="auto" w:fill="FFFFFF"/>
            <w:vAlign w:val="center"/>
          </w:tcPr>
          <w:p>
            <w:pPr>
              <w:rPr>
                <w:rFonts w:ascii="宋体" w:hAnsi="宋体" w:eastAsia="宋体" w:cs="宋体"/>
                <w:color w:val="000000"/>
                <w:sz w:val="20"/>
                <w:szCs w:val="20"/>
              </w:rPr>
            </w:pPr>
            <w:r>
              <w:rPr>
                <w:rFonts w:hint="eastAsia" w:ascii="宋体" w:hAnsi="宋体" w:eastAsia="宋体" w:cs="宋体"/>
                <w:color w:val="000000"/>
                <w:sz w:val="20"/>
                <w:szCs w:val="20"/>
              </w:rPr>
              <w:t>2023年度</w:t>
            </w:r>
          </w:p>
        </w:tc>
        <w:tc>
          <w:tcPr>
            <w:tcW w:w="240" w:type="dxa"/>
            <w:shd w:val="clear" w:color="auto" w:fill="FFFFFF"/>
            <w:vAlign w:val="center"/>
          </w:tcPr>
          <w:p>
            <w:pPr>
              <w:widowControl/>
              <w:ind w:right="-5048" w:rightChars="-2404"/>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单位：万元</w:t>
            </w:r>
          </w:p>
        </w:tc>
        <w:tc>
          <w:tcPr>
            <w:tcW w:w="5418" w:type="dxa"/>
            <w:gridSpan w:val="11"/>
            <w:shd w:val="clear" w:color="auto" w:fill="FFFFFF"/>
            <w:vAlign w:val="center"/>
          </w:tcPr>
          <w:p>
            <w:pPr>
              <w:widowControl/>
              <w:tabs>
                <w:tab w:val="left" w:pos="630"/>
                <w:tab w:val="left" w:pos="5250"/>
              </w:tabs>
              <w:ind w:right="346" w:rightChars="165"/>
              <w:jc w:val="left"/>
              <w:rPr>
                <w:rFonts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0"/>
                <w:szCs w:val="20"/>
                <w:lang w:bidi="ar"/>
              </w:rPr>
              <w:t>单位：万元</w:t>
            </w:r>
          </w:p>
        </w:tc>
        <w:tc>
          <w:tcPr>
            <w:tcW w:w="240" w:type="dxa"/>
            <w:shd w:val="clear" w:color="auto" w:fill="FFFFFF"/>
            <w:vAlign w:val="center"/>
          </w:tcPr>
          <w:p>
            <w:pPr>
              <w:widowControl/>
              <w:jc w:val="right"/>
              <w:textAlignment w:val="center"/>
              <w:rPr>
                <w:rFonts w:ascii="宋体" w:hAnsi="宋体" w:eastAsia="宋体" w:cs="宋体"/>
                <w:color w:val="000000"/>
                <w:sz w:val="20"/>
                <w:szCs w:val="20"/>
              </w:rPr>
            </w:pPr>
          </w:p>
        </w:tc>
      </w:tr>
      <w:tr>
        <w:tblPrEx>
          <w:tblCellMar>
            <w:top w:w="15" w:type="dxa"/>
            <w:left w:w="15" w:type="dxa"/>
            <w:bottom w:w="15" w:type="dxa"/>
            <w:right w:w="15" w:type="dxa"/>
          </w:tblCellMar>
        </w:tblPrEx>
        <w:trPr>
          <w:gridAfter w:val="4"/>
          <w:wAfter w:w="2363" w:type="dxa"/>
          <w:trHeight w:val="555" w:hRule="atLeast"/>
        </w:trPr>
        <w:tc>
          <w:tcPr>
            <w:tcW w:w="56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c>
          <w:tcPr>
            <w:tcW w:w="506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15" w:type="dxa"/>
            <w:left w:w="15" w:type="dxa"/>
            <w:bottom w:w="15" w:type="dxa"/>
            <w:right w:w="15" w:type="dxa"/>
          </w:tblCellMar>
        </w:tblPrEx>
        <w:trPr>
          <w:gridAfter w:val="4"/>
          <w:wAfter w:w="2363" w:type="dxa"/>
          <w:trHeight w:val="600"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8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5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54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合计</w:t>
            </w:r>
          </w:p>
        </w:tc>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因公出国（境）费</w:t>
            </w:r>
          </w:p>
        </w:tc>
        <w:tc>
          <w:tcPr>
            <w:tcW w:w="23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公务用车购置及运行维护费</w:t>
            </w: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公务接待费</w:t>
            </w:r>
          </w:p>
        </w:tc>
      </w:tr>
      <w:tr>
        <w:tblPrEx>
          <w:tblCellMar>
            <w:top w:w="15" w:type="dxa"/>
            <w:left w:w="15" w:type="dxa"/>
            <w:bottom w:w="15" w:type="dxa"/>
            <w:right w:w="15" w:type="dxa"/>
          </w:tblCellMar>
        </w:tblPrEx>
        <w:trPr>
          <w:gridAfter w:val="4"/>
          <w:wAfter w:w="2363" w:type="dxa"/>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c>
          <w:tcPr>
            <w:tcW w:w="8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公务用车运行维护费</w:t>
            </w:r>
          </w:p>
        </w:tc>
        <w:tc>
          <w:tcPr>
            <w:tcW w:w="154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小计</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公务用车购置费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bCs/>
                <w:color w:val="000000"/>
                <w:kern w:val="0"/>
                <w:sz w:val="22"/>
                <w:lang w:bidi="ar"/>
              </w:rPr>
            </w:pPr>
            <w:r>
              <w:rPr>
                <w:rFonts w:hint="eastAsia" w:ascii="宋体" w:hAnsi="宋体" w:eastAsia="宋体" w:cs="宋体"/>
                <w:b/>
                <w:bCs/>
                <w:color w:val="000000"/>
                <w:kern w:val="0"/>
                <w:sz w:val="22"/>
                <w:lang w:bidi="ar"/>
              </w:rPr>
              <w:t>公务用车</w:t>
            </w:r>
          </w:p>
          <w:p>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运行维护费</w:t>
            </w: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b/>
                <w:bCs/>
                <w:color w:val="000000"/>
                <w:sz w:val="22"/>
              </w:rPr>
            </w:pPr>
          </w:p>
        </w:tc>
      </w:tr>
      <w:tr>
        <w:tblPrEx>
          <w:tblCellMar>
            <w:top w:w="15" w:type="dxa"/>
            <w:left w:w="15" w:type="dxa"/>
            <w:bottom w:w="15" w:type="dxa"/>
            <w:right w:w="15" w:type="dxa"/>
          </w:tblCellMar>
        </w:tblPrEx>
        <w:trPr>
          <w:gridAfter w:val="4"/>
          <w:wAfter w:w="2363" w:type="dxa"/>
          <w:trHeight w:val="555"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15" w:type="dxa"/>
            <w:left w:w="15" w:type="dxa"/>
            <w:bottom w:w="15" w:type="dxa"/>
            <w:right w:w="15" w:type="dxa"/>
          </w:tblCellMar>
        </w:tblPrEx>
        <w:trPr>
          <w:gridAfter w:val="4"/>
          <w:wAfter w:w="2363" w:type="dxa"/>
          <w:trHeight w:val="427"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88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5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6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eastAsia="宋体" w:cs="宋体"/>
                <w:color w:val="000000"/>
                <w:sz w:val="22"/>
              </w:rPr>
            </w:pPr>
          </w:p>
        </w:tc>
      </w:tr>
      <w:tr>
        <w:tblPrEx>
          <w:tblCellMar>
            <w:top w:w="15" w:type="dxa"/>
            <w:left w:w="15" w:type="dxa"/>
            <w:bottom w:w="15" w:type="dxa"/>
            <w:right w:w="15" w:type="dxa"/>
          </w:tblCellMar>
        </w:tblPrEx>
        <w:trPr>
          <w:trHeight w:val="900" w:hRule="atLeast"/>
        </w:trPr>
        <w:tc>
          <w:tcPr>
            <w:tcW w:w="13090" w:type="dxa"/>
            <w:gridSpan w:val="24"/>
            <w:shd w:val="clear" w:color="auto" w:fill="auto"/>
            <w:vAlign w:val="center"/>
          </w:tcPr>
          <w:p>
            <w:pPr>
              <w:widowControl/>
              <w:ind w:right="2339" w:rightChars="1114"/>
              <w:jc w:val="left"/>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widowControl/>
              <w:ind w:right="2339" w:rightChars="1114"/>
              <w:jc w:val="left"/>
              <w:textAlignment w:val="center"/>
              <w:rPr>
                <w:rFonts w:ascii="宋体" w:hAnsi="宋体" w:eastAsia="宋体" w:cs="宋体"/>
                <w:color w:val="000000"/>
                <w:sz w:val="24"/>
              </w:rPr>
            </w:pPr>
            <w:r>
              <w:rPr>
                <w:rFonts w:ascii="宋体" w:hAnsi="宋体" w:eastAsia="宋体" w:cs="宋体"/>
                <w:color w:val="000000"/>
                <w:sz w:val="24"/>
              </w:rPr>
              <w:t>本</w:t>
            </w:r>
            <w:r>
              <w:rPr>
                <w:rFonts w:hint="eastAsia" w:ascii="宋体" w:hAnsi="宋体" w:eastAsia="宋体" w:cs="宋体"/>
                <w:color w:val="000000"/>
                <w:sz w:val="24"/>
              </w:rPr>
              <w:t>单位</w:t>
            </w:r>
            <w:r>
              <w:rPr>
                <w:rFonts w:ascii="宋体" w:hAnsi="宋体" w:eastAsia="宋体" w:cs="宋体"/>
                <w:color w:val="000000"/>
                <w:sz w:val="24"/>
              </w:rPr>
              <w:t>本年度无相关收入支出及结转结余情况，按要求空表列示。</w:t>
            </w:r>
          </w:p>
          <w:p>
            <w:pPr>
              <w:widowControl/>
              <w:ind w:right="2339" w:rightChars="1114"/>
              <w:jc w:val="left"/>
              <w:textAlignment w:val="center"/>
              <w:rPr>
                <w:rFonts w:hint="eastAsia" w:ascii="宋体" w:hAnsi="宋体" w:eastAsia="宋体" w:cs="宋体"/>
                <w:color w:val="000000"/>
                <w:sz w:val="24"/>
              </w:rPr>
            </w:pPr>
          </w:p>
        </w:tc>
      </w:tr>
    </w:tbl>
    <w:p>
      <w:pPr>
        <w:widowControl/>
        <w:spacing w:after="160" w:line="580" w:lineRule="exact"/>
        <w:ind w:firstLine="2275" w:firstLineChars="316"/>
        <w:rPr>
          <w:rFonts w:eastAsia="黑体"/>
          <w:sz w:val="32"/>
          <w:szCs w:val="32"/>
        </w:rPr>
      </w:pPr>
      <w:r>
        <w:rPr>
          <w:sz w:val="72"/>
        </w:rPr>
        <mc:AlternateContent>
          <mc:Choice Requires="wps">
            <w:drawing>
              <wp:anchor distT="0" distB="0" distL="114300" distR="114300" simplePos="0" relativeHeight="251664384"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7pt;margin-top:238.15pt;height:173.25pt;width:613.65pt;z-index:251664384;mso-width-relative:page;mso-height-relative:page;" filled="f" stroked="f" coordsize="21600,21600"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after="160" w:line="580" w:lineRule="exact"/>
        <w:ind w:left="-283" w:leftChars="-135" w:firstLine="1292" w:firstLineChars="404"/>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p>
    <w:p>
      <w:pPr>
        <w:widowControl/>
        <w:spacing w:after="160" w:line="580" w:lineRule="exact"/>
        <w:ind w:firstLine="1011" w:firstLineChars="316"/>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第三部分 2023年度部门决算情况说明</w:t>
      </w:r>
    </w:p>
    <w:p>
      <w:pPr>
        <w:rPr>
          <w:rFonts w:ascii="黑体" w:hAnsi="Calibri" w:eastAsia="黑体" w:cs="Times New Roman"/>
          <w:sz w:val="32"/>
          <w:szCs w:val="32"/>
        </w:rPr>
      </w:pPr>
    </w:p>
    <w:p>
      <w:pPr>
        <w:ind w:firstLine="640" w:firstLineChars="200"/>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本部门2023年度收、支总计（含结转和结余）</w:t>
      </w:r>
      <w:r>
        <w:rPr>
          <w:rFonts w:hint="eastAsia" w:ascii="仿宋_GB2312" w:hAnsi="Times New Roman" w:eastAsia="仿宋_GB2312" w:cs="DengXian-Regular"/>
          <w:sz w:val="32"/>
          <w:szCs w:val="32"/>
          <w:lang w:val="en-US" w:eastAsia="zh-CN"/>
        </w:rPr>
        <w:t>3453.79</w:t>
      </w:r>
      <w:r>
        <w:rPr>
          <w:rFonts w:hint="eastAsia" w:ascii="仿宋_GB2312" w:hAnsi="Times New Roman" w:eastAsia="仿宋_GB2312" w:cs="DengXian-Regular"/>
          <w:sz w:val="32"/>
          <w:szCs w:val="32"/>
        </w:rPr>
        <w:t>万元。202</w:t>
      </w:r>
      <w:r>
        <w:rPr>
          <w:rFonts w:hint="eastAsia" w:ascii="仿宋_GB2312" w:hAnsi="Times New Roman" w:eastAsia="仿宋_GB2312" w:cs="DengXian-Regular"/>
          <w:sz w:val="32"/>
          <w:szCs w:val="32"/>
          <w:lang w:val="en-US" w:eastAsia="zh-CN"/>
        </w:rPr>
        <w:t>2</w:t>
      </w:r>
      <w:r>
        <w:rPr>
          <w:rFonts w:hint="eastAsia" w:ascii="仿宋_GB2312" w:hAnsi="Times New Roman" w:eastAsia="仿宋_GB2312" w:cs="DengXian-Regular"/>
          <w:sz w:val="32"/>
          <w:szCs w:val="32"/>
        </w:rPr>
        <w:t>年度决算收、支总计（含结转和结余）1883.99万元相比，收入增加</w:t>
      </w:r>
      <w:r>
        <w:rPr>
          <w:rFonts w:hint="eastAsia" w:ascii="仿宋_GB2312" w:hAnsi="Times New Roman" w:eastAsia="仿宋_GB2312" w:cs="DengXian-Regular"/>
          <w:sz w:val="32"/>
          <w:szCs w:val="32"/>
          <w:lang w:val="en-US" w:eastAsia="zh-CN"/>
        </w:rPr>
        <w:t>1569.80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54.54</w:t>
      </w:r>
      <w:r>
        <w:rPr>
          <w:rFonts w:hint="eastAsia" w:ascii="仿宋_GB2312" w:hAnsi="Times New Roman" w:eastAsia="仿宋_GB2312" w:cs="DengXian-Regular"/>
          <w:sz w:val="32"/>
          <w:szCs w:val="32"/>
        </w:rPr>
        <w:t>%，主要原因是</w:t>
      </w:r>
      <w:r>
        <w:rPr>
          <w:rFonts w:ascii="仿宋_GB2312" w:hAnsi="仿宋_GB2312" w:eastAsia="仿宋_GB2312" w:cs="仿宋_GB2312"/>
          <w:color w:val="000000"/>
          <w:kern w:val="0"/>
          <w:sz w:val="31"/>
          <w:szCs w:val="31"/>
        </w:rPr>
        <w:t>人员增加、工资调整及项目支出增加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drawing>
          <wp:anchor distT="0" distB="0" distL="114300" distR="114300" simplePos="0" relativeHeight="251670528" behindDoc="1" locked="0" layoutInCell="1" allowOverlap="1">
            <wp:simplePos x="0" y="0"/>
            <wp:positionH relativeFrom="column">
              <wp:posOffset>525780</wp:posOffset>
            </wp:positionH>
            <wp:positionV relativeFrom="paragraph">
              <wp:posOffset>38100</wp:posOffset>
            </wp:positionV>
            <wp:extent cx="4114165" cy="2569210"/>
            <wp:effectExtent l="4445" t="5080" r="15240" b="16510"/>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_GB2312" w:hAnsi="Times New Roman" w:eastAsia="仿宋_GB2312" w:cs="DengXian-Regular"/>
          <w:sz w:val="32"/>
          <w:szCs w:val="32"/>
          <w:lang w:val="en-US" w:eastAsia="zh-CN"/>
        </w:rPr>
        <w:t xml:space="preserve">    </w:t>
      </w: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p>
    <w:p>
      <w:pPr>
        <w:adjustRightInd w:val="0"/>
        <w:snapToGrid w:val="0"/>
        <w:spacing w:line="580" w:lineRule="exact"/>
        <w:rPr>
          <w:rFonts w:hint="default"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 xml:space="preserve">  </w:t>
      </w: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hint="eastAsia" w:ascii="仿宋_GB2312" w:hAnsi="Times New Roman" w:eastAsia="仿宋_GB2312" w:cs="DengXian-Regular"/>
          <w:sz w:val="32"/>
          <w:szCs w:val="32"/>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二、收入决算情况说明</w:t>
      </w:r>
    </w:p>
    <w:p>
      <w:pPr>
        <w:autoSpaceDE w:val="0"/>
        <w:autoSpaceDN w:val="0"/>
        <w:adjustRightInd w:val="0"/>
        <w:ind w:left="200"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本部门2023年度收入合计</w:t>
      </w:r>
      <w:r>
        <w:rPr>
          <w:rFonts w:hint="eastAsia" w:ascii="仿宋_GB2312" w:hAnsi="Times New Roman" w:eastAsia="仿宋_GB2312" w:cs="DengXian-Regular"/>
          <w:sz w:val="32"/>
          <w:szCs w:val="32"/>
          <w:lang w:val="en-US" w:eastAsia="zh-CN"/>
        </w:rPr>
        <w:t>3404.41</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3404.41</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%；上级补助收入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%；附属单位上缴收入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hint="eastAsia" w:ascii="黑体" w:hAnsi="Calibri" w:eastAsia="黑体" w:cs="Times New Roman"/>
          <w:sz w:val="32"/>
          <w:szCs w:val="32"/>
          <w:lang w:eastAsia="zh-CN"/>
        </w:rPr>
      </w:pPr>
      <w:r>
        <w:rPr>
          <w:rFonts w:hint="eastAsia" w:ascii="黑体" w:hAnsi="Calibri" w:eastAsia="黑体" w:cs="Times New Roman"/>
          <w:sz w:val="32"/>
          <w:szCs w:val="32"/>
          <w:lang w:eastAsia="zh-CN"/>
        </w:rPr>
        <w:drawing>
          <wp:anchor distT="0" distB="0" distL="114300" distR="114300" simplePos="0" relativeHeight="251670528" behindDoc="1" locked="0" layoutInCell="1" allowOverlap="1">
            <wp:simplePos x="0" y="0"/>
            <wp:positionH relativeFrom="column">
              <wp:posOffset>516255</wp:posOffset>
            </wp:positionH>
            <wp:positionV relativeFrom="paragraph">
              <wp:posOffset>92710</wp:posOffset>
            </wp:positionV>
            <wp:extent cx="4095750" cy="2054860"/>
            <wp:effectExtent l="4445" t="4445" r="14605" b="17145"/>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adjustRightInd w:val="0"/>
        <w:snapToGrid w:val="0"/>
        <w:spacing w:line="580" w:lineRule="exact"/>
        <w:ind w:firstLine="640" w:firstLineChars="200"/>
        <w:rPr>
          <w:rFonts w:hint="eastAsia" w:ascii="黑体" w:hAnsi="Calibri" w:eastAsia="黑体" w:cs="Times New Roman"/>
          <w:sz w:val="32"/>
          <w:szCs w:val="32"/>
        </w:rPr>
      </w:pPr>
    </w:p>
    <w:p>
      <w:pPr>
        <w:adjustRightInd w:val="0"/>
        <w:snapToGrid w:val="0"/>
        <w:spacing w:line="580" w:lineRule="exact"/>
        <w:ind w:firstLine="640" w:firstLineChars="200"/>
        <w:rPr>
          <w:rFonts w:hint="eastAsia" w:ascii="黑体" w:hAnsi="Calibri" w:eastAsia="黑体" w:cs="Times New Roman"/>
          <w:sz w:val="32"/>
          <w:szCs w:val="32"/>
        </w:rPr>
      </w:pPr>
    </w:p>
    <w:p>
      <w:pPr>
        <w:adjustRightInd w:val="0"/>
        <w:snapToGrid w:val="0"/>
        <w:spacing w:line="580" w:lineRule="exact"/>
        <w:ind w:firstLine="640" w:firstLineChars="200"/>
        <w:rPr>
          <w:rFonts w:hint="eastAsia" w:ascii="黑体" w:hAnsi="Calibri" w:eastAsia="黑体" w:cs="Times New Roman"/>
          <w:sz w:val="32"/>
          <w:szCs w:val="32"/>
        </w:rPr>
      </w:pPr>
    </w:p>
    <w:p>
      <w:pPr>
        <w:adjustRightInd w:val="0"/>
        <w:snapToGrid w:val="0"/>
        <w:spacing w:line="580" w:lineRule="exact"/>
        <w:ind w:firstLine="640" w:firstLineChars="200"/>
        <w:rPr>
          <w:rFonts w:hint="eastAsia" w:ascii="黑体" w:hAnsi="Calibri" w:eastAsia="黑体" w:cs="Times New Roman"/>
          <w:sz w:val="32"/>
          <w:szCs w:val="32"/>
        </w:rPr>
      </w:pPr>
    </w:p>
    <w:p>
      <w:pPr>
        <w:adjustRightInd w:val="0"/>
        <w:snapToGrid w:val="0"/>
        <w:spacing w:line="580" w:lineRule="exact"/>
        <w:ind w:firstLine="640" w:firstLineChars="200"/>
        <w:rPr>
          <w:rFonts w:hint="eastAsia" w:ascii="黑体" w:hAnsi="Calibri" w:eastAsia="黑体" w:cs="Times New Roman"/>
          <w:sz w:val="32"/>
          <w:szCs w:val="32"/>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三、支出决算情况说明</w:t>
      </w:r>
    </w:p>
    <w:p>
      <w:pPr>
        <w:autoSpaceDE w:val="0"/>
        <w:autoSpaceDN w:val="0"/>
        <w:adjustRightInd w:val="0"/>
        <w:ind w:left="200" w:firstLine="640" w:firstLineChars="200"/>
        <w:jc w:val="lef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本部门2023年度支出合计</w:t>
      </w:r>
      <w:r>
        <w:rPr>
          <w:rFonts w:hint="eastAsia" w:ascii="仿宋_GB2312" w:hAnsi="Times New Roman" w:eastAsia="仿宋_GB2312" w:cs="DengXian-Regular"/>
          <w:sz w:val="32"/>
          <w:szCs w:val="32"/>
          <w:lang w:val="en-US" w:eastAsia="zh-CN"/>
        </w:rPr>
        <w:t>3131.60</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921.19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29.41</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2210.41</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70.59</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万元，占x%；上缴上级支出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；对附属单位补助支出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ascii="仿宋_GB2312" w:hAnsi="Times New Roman" w:eastAsia="仿宋_GB2312" w:cs="DengXian-Regular"/>
          <w:sz w:val="32"/>
          <w:szCs w:val="32"/>
        </w:rPr>
        <w:t>%</w:t>
      </w:r>
      <w:r>
        <w:rPr>
          <w:rFonts w:hint="eastAsia" w:ascii="仿宋_GB2312" w:hAnsi="Times New Roman" w:eastAsia="仿宋_GB2312" w:cs="DengXian-Regular"/>
          <w:sz w:val="32"/>
          <w:szCs w:val="32"/>
        </w:rPr>
        <w:t>。</w:t>
      </w:r>
    </w:p>
    <w:p>
      <w:pPr>
        <w:autoSpaceDE w:val="0"/>
        <w:autoSpaceDN w:val="0"/>
        <w:adjustRightInd w:val="0"/>
        <w:ind w:left="200" w:firstLine="640" w:firstLineChars="200"/>
        <w:jc w:val="left"/>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lang w:eastAsia="zh-CN"/>
        </w:rPr>
        <w:drawing>
          <wp:inline distT="0" distB="0" distL="114300" distR="114300">
            <wp:extent cx="4124325" cy="2245995"/>
            <wp:effectExtent l="4445" t="4445" r="5080" b="1651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autoSpaceDE w:val="0"/>
        <w:autoSpaceDN w:val="0"/>
        <w:adjustRightInd w:val="0"/>
        <w:ind w:left="200" w:firstLine="640" w:firstLineChars="200"/>
        <w:jc w:val="left"/>
        <w:rPr>
          <w:rFonts w:hint="eastAsia" w:ascii="仿宋_GB2312" w:hAnsi="Times New Roman" w:eastAsia="仿宋_GB2312" w:cs="DengXian-Regular"/>
          <w:sz w:val="32"/>
          <w:szCs w:val="32"/>
        </w:rPr>
      </w:pPr>
    </w:p>
    <w:p>
      <w:pPr>
        <w:autoSpaceDE w:val="0"/>
        <w:autoSpaceDN w:val="0"/>
        <w:adjustRightInd w:val="0"/>
        <w:ind w:left="200" w:firstLine="640" w:firstLineChars="200"/>
        <w:jc w:val="left"/>
        <w:rPr>
          <w:rFonts w:hint="eastAsia" w:ascii="仿宋_GB2312" w:hAnsi="Times New Roman" w:eastAsia="仿宋_GB2312" w:cs="DengXian-Regular"/>
          <w:sz w:val="32"/>
          <w:szCs w:val="32"/>
        </w:rPr>
      </w:pPr>
    </w:p>
    <w:p>
      <w:pPr>
        <w:autoSpaceDE w:val="0"/>
        <w:autoSpaceDN w:val="0"/>
        <w:adjustRightInd w:val="0"/>
        <w:ind w:left="200" w:firstLine="640" w:firstLineChars="200"/>
        <w:jc w:val="left"/>
        <w:rPr>
          <w:rFonts w:hint="eastAsia" w:ascii="仿宋_GB2312" w:hAnsi="Times New Roman" w:eastAsia="仿宋_GB2312" w:cs="DengXian-Regular"/>
          <w:sz w:val="32"/>
          <w:szCs w:val="32"/>
        </w:rPr>
      </w:pPr>
    </w:p>
    <w:p>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（一）财政拨款收支与2022年度决算对比情况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本部门2023年度财政拨款本年收入</w:t>
      </w:r>
      <w:r>
        <w:rPr>
          <w:rFonts w:hint="eastAsia" w:ascii="仿宋_GB2312" w:hAnsi="Times New Roman" w:eastAsia="仿宋_GB2312" w:cs="DengXian-Regular"/>
          <w:sz w:val="32"/>
          <w:szCs w:val="32"/>
          <w:lang w:val="en-US" w:eastAsia="zh-CN"/>
        </w:rPr>
        <w:t>3404.41</w:t>
      </w:r>
      <w:r>
        <w:rPr>
          <w:rFonts w:hint="eastAsia" w:ascii="仿宋_GB2312" w:hAnsi="Times New Roman" w:eastAsia="仿宋_GB2312" w:cs="DengXian-Regular"/>
          <w:sz w:val="32"/>
          <w:szCs w:val="32"/>
        </w:rPr>
        <w:t>万元,比2022年度增加</w:t>
      </w:r>
      <w:r>
        <w:rPr>
          <w:rFonts w:hint="eastAsia" w:ascii="仿宋_GB2312" w:hAnsi="Times New Roman" w:eastAsia="仿宋_GB2312" w:cs="DengXian-Regular"/>
          <w:sz w:val="32"/>
          <w:szCs w:val="32"/>
          <w:lang w:val="en-US" w:eastAsia="zh-CN"/>
        </w:rPr>
        <w:t>1569.80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54.54</w:t>
      </w:r>
      <w:r>
        <w:rPr>
          <w:rFonts w:hint="eastAsia" w:ascii="仿宋_GB2312" w:hAnsi="Times New Roman" w:eastAsia="仿宋_GB2312" w:cs="DengXian-Regular"/>
          <w:sz w:val="32"/>
          <w:szCs w:val="32"/>
        </w:rPr>
        <w:t>x%，主要是</w:t>
      </w:r>
      <w:r>
        <w:rPr>
          <w:rFonts w:ascii="仿宋_GB2312" w:hAnsi="仿宋_GB2312" w:eastAsia="仿宋_GB2312" w:cs="仿宋_GB2312"/>
          <w:color w:val="000000"/>
          <w:kern w:val="0"/>
          <w:sz w:val="31"/>
          <w:szCs w:val="31"/>
        </w:rPr>
        <w:t>人员增加、工资调整及项目支出增加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3131.60</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1337.75</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57.28</w:t>
      </w:r>
      <w:r>
        <w:rPr>
          <w:rFonts w:hint="eastAsia" w:ascii="仿宋_GB2312" w:hAnsi="Times New Roman" w:eastAsia="仿宋_GB2312" w:cs="DengXian-Regular"/>
          <w:sz w:val="32"/>
          <w:szCs w:val="32"/>
        </w:rPr>
        <w:t>%，主要是</w:t>
      </w:r>
      <w:r>
        <w:rPr>
          <w:rFonts w:ascii="仿宋_GB2312" w:hAnsi="仿宋_GB2312" w:eastAsia="仿宋_GB2312" w:cs="仿宋_GB2312"/>
          <w:color w:val="000000"/>
          <w:kern w:val="0"/>
          <w:sz w:val="31"/>
          <w:szCs w:val="31"/>
        </w:rPr>
        <w:t>人员增加、工资调整及项目支出增加</w:t>
      </w:r>
      <w:r>
        <w:rPr>
          <w:rFonts w:hint="eastAsia" w:ascii="仿宋_GB2312" w:hAnsi="Times New Roman" w:eastAsia="仿宋_GB2312" w:cs="DengXian-Regular"/>
          <w:sz w:val="32"/>
          <w:szCs w:val="32"/>
        </w:rPr>
        <w:t>。具体情况如下：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w:t>
      </w:r>
      <w:r>
        <w:rPr>
          <w:rFonts w:hint="eastAsia" w:ascii="仿宋_GB2312" w:hAnsi="Times New Roman" w:eastAsia="仿宋_GB2312" w:cs="DengXian-Regular"/>
          <w:sz w:val="32"/>
          <w:szCs w:val="32"/>
          <w:lang w:val="en-US" w:eastAsia="zh-CN"/>
        </w:rPr>
        <w:t>3404.41</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1569.80</w:t>
      </w:r>
      <w:r>
        <w:rPr>
          <w:rFonts w:hint="eastAsia" w:ascii="仿宋_GB2312" w:hAnsi="Times New Roman" w:eastAsia="仿宋_GB2312" w:cs="DengXian-Regular"/>
          <w:sz w:val="32"/>
          <w:szCs w:val="32"/>
        </w:rPr>
        <w:t>万元；主要是</w:t>
      </w:r>
      <w:r>
        <w:rPr>
          <w:rFonts w:ascii="仿宋_GB2312" w:hAnsi="仿宋_GB2312" w:eastAsia="仿宋_GB2312" w:cs="仿宋_GB2312"/>
          <w:color w:val="000000"/>
          <w:kern w:val="0"/>
          <w:sz w:val="31"/>
          <w:szCs w:val="31"/>
        </w:rPr>
        <w:t>人员增加、工资调整及项目支出增加</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3131.60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1337.75</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57.28</w:t>
      </w:r>
      <w:r>
        <w:rPr>
          <w:rFonts w:hint="eastAsia" w:ascii="仿宋_GB2312" w:hAnsi="Times New Roman" w:eastAsia="仿宋_GB2312" w:cs="DengXian-Regular"/>
          <w:sz w:val="32"/>
          <w:szCs w:val="32"/>
        </w:rPr>
        <w:t>%，主要是</w:t>
      </w:r>
      <w:r>
        <w:rPr>
          <w:rFonts w:ascii="仿宋_GB2312" w:hAnsi="仿宋_GB2312" w:eastAsia="仿宋_GB2312" w:cs="仿宋_GB2312"/>
          <w:color w:val="000000"/>
          <w:kern w:val="0"/>
          <w:sz w:val="31"/>
          <w:szCs w:val="31"/>
        </w:rPr>
        <w:t>人员增加、工资调整及项目支出增加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%，主要原因是</w:t>
      </w:r>
      <w:r>
        <w:rPr>
          <w:rFonts w:hint="eastAsia" w:ascii="仿宋_GB2312" w:hAnsi="Times New Roman" w:eastAsia="仿宋_GB2312" w:cs="DengXian-Regular"/>
          <w:sz w:val="32"/>
          <w:szCs w:val="32"/>
          <w:lang w:val="en-US" w:eastAsia="zh-CN"/>
        </w:rPr>
        <w:t>本单位无</w:t>
      </w:r>
      <w:r>
        <w:rPr>
          <w:rFonts w:hint="eastAsia" w:ascii="仿宋_GB2312" w:hAnsi="Times New Roman" w:eastAsia="仿宋_GB2312" w:cs="DengXian-Regular"/>
          <w:sz w:val="32"/>
          <w:szCs w:val="32"/>
        </w:rPr>
        <w:t>政府性基金预算财政拨款；本年支出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 xml:space="preserve">0 </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本单位无</w:t>
      </w:r>
      <w:r>
        <w:rPr>
          <w:rFonts w:hint="eastAsia" w:ascii="仿宋_GB2312" w:hAnsi="Times New Roman" w:eastAsia="仿宋_GB2312" w:cs="DengXian-Regular"/>
          <w:sz w:val="32"/>
          <w:szCs w:val="32"/>
        </w:rPr>
        <w:t>政府性基金预算财政拨款。</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w:t>
      </w:r>
      <w:r>
        <w:rPr>
          <w:rFonts w:hint="eastAsia" w:ascii="仿宋_GB2312" w:hAnsi="Times New Roman" w:eastAsia="仿宋_GB2312" w:cs="DengXian-Regular"/>
          <w:sz w:val="32"/>
          <w:szCs w:val="32"/>
          <w:lang w:val="en-US" w:eastAsia="zh-CN"/>
        </w:rPr>
        <w:t>28.82</w:t>
      </w:r>
      <w:r>
        <w:rPr>
          <w:rFonts w:hint="eastAsia" w:ascii="仿宋_GB2312" w:hAnsi="Times New Roman" w:eastAsia="仿宋_GB2312" w:cs="DengXian-Regular"/>
          <w:sz w:val="32"/>
          <w:szCs w:val="32"/>
        </w:rPr>
        <w:t>万元，比上年减少</w:t>
      </w:r>
      <w:r>
        <w:rPr>
          <w:rFonts w:hint="eastAsia" w:ascii="仿宋_GB2312" w:hAnsi="Times New Roman" w:eastAsia="仿宋_GB2312" w:cs="DengXian-Regular"/>
          <w:sz w:val="32"/>
          <w:szCs w:val="32"/>
          <w:lang w:val="en-US" w:eastAsia="zh-CN"/>
        </w:rPr>
        <w:t>34.05</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45.84</w:t>
      </w:r>
      <w:r>
        <w:rPr>
          <w:rFonts w:hint="eastAsia" w:ascii="仿宋_GB2312" w:hAnsi="Times New Roman" w:eastAsia="仿宋_GB2312" w:cs="DengXian-Regular"/>
          <w:sz w:val="32"/>
          <w:szCs w:val="32"/>
        </w:rPr>
        <w:t>%，主要原因是国有社会化企业退休人员经费</w:t>
      </w:r>
      <w:r>
        <w:rPr>
          <w:rFonts w:hint="eastAsia" w:ascii="仿宋_GB2312" w:hAnsi="Times New Roman" w:eastAsia="仿宋_GB2312" w:cs="DengXian-Regular"/>
          <w:sz w:val="32"/>
          <w:szCs w:val="32"/>
          <w:lang w:val="en-US" w:eastAsia="zh-CN"/>
        </w:rPr>
        <w:t>减少</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65.65</w:t>
      </w:r>
      <w:r>
        <w:rPr>
          <w:rFonts w:hint="eastAsia" w:ascii="仿宋_GB2312" w:hAnsi="Times New Roman" w:eastAsia="仿宋_GB2312" w:cs="DengXian-Regular"/>
          <w:sz w:val="32"/>
          <w:szCs w:val="32"/>
        </w:rPr>
        <w:t>万元，比上年增加</w:t>
      </w:r>
      <w:r>
        <w:rPr>
          <w:rFonts w:hint="eastAsia" w:ascii="仿宋_GB2312" w:hAnsi="Times New Roman" w:eastAsia="仿宋_GB2312" w:cs="DengXian-Regular"/>
          <w:sz w:val="32"/>
          <w:szCs w:val="32"/>
          <w:lang w:val="en-US" w:eastAsia="zh-CN"/>
        </w:rPr>
        <w:t>59.42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95.20</w:t>
      </w:r>
      <w:r>
        <w:rPr>
          <w:rFonts w:hint="eastAsia" w:ascii="仿宋_GB2312" w:hAnsi="Times New Roman" w:eastAsia="仿宋_GB2312" w:cs="DengXian-Regular"/>
          <w:sz w:val="32"/>
          <w:szCs w:val="32"/>
        </w:rPr>
        <w:t>%，主要是国有社会化企业退休人员经费增加。</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highlight w:val="yellow"/>
          <w:lang w:eastAsia="zh-CN"/>
        </w:rPr>
        <w:drawing>
          <wp:anchor distT="0" distB="0" distL="114300" distR="114300" simplePos="0" relativeHeight="251670528" behindDoc="1" locked="0" layoutInCell="1" allowOverlap="1">
            <wp:simplePos x="0" y="0"/>
            <wp:positionH relativeFrom="column">
              <wp:posOffset>268605</wp:posOffset>
            </wp:positionH>
            <wp:positionV relativeFrom="paragraph">
              <wp:posOffset>181610</wp:posOffset>
            </wp:positionV>
            <wp:extent cx="4352925" cy="2827020"/>
            <wp:effectExtent l="4445" t="4445" r="5080" b="6985"/>
            <wp:wrapNone/>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lang w:eastAsia="zh-CN"/>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adjustRightInd w:val="0"/>
        <w:snapToGrid w:val="0"/>
        <w:spacing w:line="580" w:lineRule="exact"/>
        <w:rPr>
          <w:rFonts w:ascii="仿宋_GB2312" w:hAnsi="Times New Roman" w:eastAsia="仿宋_GB2312" w:cs="DengXian-Regular"/>
          <w:sz w:val="32"/>
          <w:szCs w:val="32"/>
          <w:highlight w:val="yellow"/>
        </w:rPr>
      </w:pP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hint="eastAsia" w:ascii="楷体_GB2312" w:hAnsi="Times New Roman" w:eastAsia="楷体_GB2312" w:cs="DengXian-Bold"/>
          <w:b/>
          <w:bCs/>
          <w:sz w:val="32"/>
          <w:szCs w:val="32"/>
        </w:rPr>
      </w:pPr>
    </w:p>
    <w:p>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本部门2023年度财政拨款本年收入</w:t>
      </w:r>
      <w:r>
        <w:rPr>
          <w:rFonts w:hint="eastAsia" w:ascii="仿宋_GB2312" w:hAnsi="Times New Roman" w:eastAsia="仿宋_GB2312" w:cs="DengXian-Regular"/>
          <w:sz w:val="32"/>
          <w:szCs w:val="32"/>
          <w:lang w:val="en-US" w:eastAsia="zh-CN"/>
        </w:rPr>
        <w:t>3404.41</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159.57</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1271.00</w:t>
      </w:r>
      <w:r>
        <w:rPr>
          <w:rFonts w:hint="eastAsia" w:ascii="仿宋_GB2312" w:hAnsi="Times New Roman" w:eastAsia="仿宋_GB2312" w:cs="DengXian-Regular"/>
          <w:sz w:val="32"/>
          <w:szCs w:val="32"/>
        </w:rPr>
        <w:t>万元，决算数大于预算数主要原因是人员增加、工资调整及项目支出增加；本年支出</w:t>
      </w:r>
      <w:r>
        <w:rPr>
          <w:rFonts w:hint="eastAsia" w:ascii="仿宋_GB2312" w:hAnsi="Times New Roman" w:eastAsia="仿宋_GB2312" w:cs="DengXian-Regular"/>
          <w:sz w:val="32"/>
          <w:szCs w:val="32"/>
          <w:lang w:val="en-US" w:eastAsia="zh-CN"/>
        </w:rPr>
        <w:t>3131.60</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146.78</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998.20</w:t>
      </w:r>
      <w:r>
        <w:rPr>
          <w:rFonts w:hint="eastAsia" w:ascii="仿宋_GB2312" w:hAnsi="Times New Roman" w:eastAsia="仿宋_GB2312" w:cs="DengXian-Regular"/>
          <w:sz w:val="32"/>
          <w:szCs w:val="32"/>
        </w:rPr>
        <w:t>万元，决算数大于预算数主要原因是人员增加、工资调整及项目支出增加。具体情况如下：</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1.一般公共预算财政拨款本年收入完成年初预算</w:t>
      </w:r>
      <w:r>
        <w:rPr>
          <w:rFonts w:hint="eastAsia" w:ascii="仿宋_GB2312" w:hAnsi="Times New Roman" w:eastAsia="仿宋_GB2312" w:cs="DengXian-Regular"/>
          <w:sz w:val="32"/>
          <w:szCs w:val="32"/>
          <w:lang w:val="en-US" w:eastAsia="zh-CN"/>
        </w:rPr>
        <w:t>159.57</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1271.00</w:t>
      </w:r>
      <w:r>
        <w:rPr>
          <w:rFonts w:hint="eastAsia" w:ascii="仿宋_GB2312" w:hAnsi="Times New Roman" w:eastAsia="仿宋_GB2312" w:cs="DengXian-Regular"/>
          <w:sz w:val="32"/>
          <w:szCs w:val="32"/>
        </w:rPr>
        <w:t>万元，主要是人员增加、工资调整及项目支出增加；支出完成年初预算</w:t>
      </w:r>
      <w:r>
        <w:rPr>
          <w:rFonts w:hint="eastAsia" w:ascii="仿宋_GB2312" w:hAnsi="Times New Roman" w:eastAsia="仿宋_GB2312" w:cs="DengXian-Regular"/>
          <w:sz w:val="32"/>
          <w:szCs w:val="32"/>
          <w:lang w:val="en-US" w:eastAsia="zh-CN"/>
        </w:rPr>
        <w:t>146.78</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998.20</w:t>
      </w:r>
      <w:r>
        <w:rPr>
          <w:rFonts w:hint="eastAsia" w:ascii="仿宋_GB2312" w:hAnsi="Times New Roman" w:eastAsia="仿宋_GB2312" w:cs="DengXian-Regular"/>
          <w:sz w:val="32"/>
          <w:szCs w:val="32"/>
        </w:rPr>
        <w:t>万元，主要是人员增加、工资调整及项目支出增加。</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2.政府性基金预算财政拨款本年收入完成年初预算</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%，比年初预算增加0万元，主要是本年度无政府性基金预算财政收入；支出完成年初预算</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%，比年初预算增加0万元，主要是本年度无政府性基金预算财政收入。</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3.国有资本经营预算财政拨款本年收入完成年初预算</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28.82</w:t>
      </w:r>
      <w:r>
        <w:rPr>
          <w:rFonts w:hint="eastAsia" w:ascii="仿宋_GB2312" w:hAnsi="Times New Roman" w:eastAsia="仿宋_GB2312" w:cs="DengXian-Regular"/>
          <w:sz w:val="32"/>
          <w:szCs w:val="32"/>
        </w:rPr>
        <w:t>万元，主要本年度新增国有资本经营预算财政收入；支出完成年初预算</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65.65</w:t>
      </w:r>
      <w:r>
        <w:rPr>
          <w:rFonts w:hint="eastAsia" w:ascii="仿宋_GB2312" w:hAnsi="Times New Roman" w:eastAsia="仿宋_GB2312" w:cs="DengXian-Regular"/>
          <w:sz w:val="32"/>
          <w:szCs w:val="32"/>
        </w:rPr>
        <w:t>万元，主要是本年度新增国有资本经营预算财政</w:t>
      </w:r>
      <w:r>
        <w:rPr>
          <w:rFonts w:hint="eastAsia" w:ascii="仿宋_GB2312" w:hAnsi="Times New Roman" w:eastAsia="仿宋_GB2312" w:cs="DengXian-Regular"/>
          <w:sz w:val="32"/>
          <w:szCs w:val="32"/>
          <w:lang w:val="en-US" w:eastAsia="zh-CN"/>
        </w:rPr>
        <w:t>支出</w:t>
      </w:r>
      <w:r>
        <w:rPr>
          <w:rFonts w:hint="eastAsia" w:ascii="仿宋_GB2312" w:hAnsi="Times New Roman" w:eastAsia="仿宋_GB2312" w:cs="DengXian-Regular"/>
          <w:sz w:val="32"/>
          <w:szCs w:val="32"/>
        </w:rPr>
        <w:t>。</w:t>
      </w:r>
    </w:p>
    <w:p>
      <w:pPr>
        <w:adjustRightInd w:val="0"/>
        <w:snapToGrid w:val="0"/>
        <w:spacing w:line="580" w:lineRule="exact"/>
        <w:rPr>
          <w:rFonts w:hint="eastAsia" w:ascii="仿宋_GB2312" w:hAnsi="Times New Roman" w:eastAsia="仿宋_GB2312" w:cs="DengXian-Regular"/>
          <w:sz w:val="32"/>
          <w:szCs w:val="32"/>
        </w:rPr>
      </w:pPr>
      <w:bookmarkStart w:id="1" w:name="_GoBack"/>
      <w:r>
        <w:rPr>
          <w:rFonts w:hint="eastAsia" w:ascii="仿宋_GB2312" w:hAnsi="Times New Roman" w:eastAsia="仿宋_GB2312" w:cs="DengXian-Regular"/>
          <w:sz w:val="32"/>
          <w:szCs w:val="32"/>
          <w:lang w:eastAsia="zh-CN"/>
        </w:rPr>
        <w:drawing>
          <wp:anchor distT="0" distB="0" distL="114300" distR="114300" simplePos="0" relativeHeight="251670528" behindDoc="0" locked="0" layoutInCell="1" allowOverlap="1">
            <wp:simplePos x="0" y="0"/>
            <wp:positionH relativeFrom="column">
              <wp:posOffset>506730</wp:posOffset>
            </wp:positionH>
            <wp:positionV relativeFrom="paragraph">
              <wp:posOffset>304165</wp:posOffset>
            </wp:positionV>
            <wp:extent cx="3819525" cy="2027555"/>
            <wp:effectExtent l="4445" t="4445" r="5080" b="6350"/>
            <wp:wrapTopAndBottom/>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bookmarkEnd w:id="1"/>
    </w:p>
    <w:p>
      <w:pPr>
        <w:numPr>
          <w:ilvl w:val="0"/>
          <w:numId w:val="3"/>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lang w:eastAsia="zh-CN"/>
        </w:rPr>
      </w:pPr>
      <w:r>
        <w:rPr>
          <w:rFonts w:hint="eastAsia" w:ascii="仿宋_GB2312" w:hAnsi="Times New Roman" w:eastAsia="仿宋_GB2312" w:cs="DengXian-Regular"/>
          <w:sz w:val="32"/>
          <w:szCs w:val="32"/>
        </w:rPr>
        <w:t>2023年度财政拨款支出</w:t>
      </w:r>
      <w:r>
        <w:rPr>
          <w:rFonts w:hint="eastAsia" w:ascii="仿宋_GB2312" w:hAnsi="Times New Roman" w:eastAsia="仿宋_GB2312" w:cs="DengXian-Regular"/>
          <w:sz w:val="32"/>
          <w:szCs w:val="32"/>
          <w:lang w:val="en-US" w:eastAsia="zh-CN"/>
        </w:rPr>
        <w:t>3131.60</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p>
    <w:p>
      <w:pPr>
        <w:adjustRightInd w:val="0"/>
        <w:snapToGrid w:val="0"/>
        <w:spacing w:line="580" w:lineRule="exact"/>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一般公共服务（类）支出</w:t>
      </w:r>
      <w:r>
        <w:rPr>
          <w:rFonts w:hint="eastAsia" w:ascii="仿宋_GB2312" w:hAnsi="Times New Roman" w:eastAsia="仿宋_GB2312" w:cs="DengXian-Regular"/>
          <w:sz w:val="32"/>
          <w:szCs w:val="32"/>
          <w:lang w:val="en-US" w:eastAsia="zh-CN"/>
        </w:rPr>
        <w:t>921.19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29.41</w:t>
      </w:r>
      <w:r>
        <w:rPr>
          <w:rFonts w:hint="eastAsia" w:ascii="仿宋_GB2312" w:hAnsi="Times New Roman" w:eastAsia="仿宋_GB2312" w:cs="DengXian-Regular"/>
          <w:sz w:val="32"/>
          <w:szCs w:val="32"/>
        </w:rPr>
        <w:t>%，主要用于人员工资福利支出、商品和服务支出、办公设备购置、对个人和家庭补助及部分项目等支出；农林水（类）支出</w:t>
      </w:r>
      <w:r>
        <w:rPr>
          <w:rFonts w:hint="eastAsia" w:ascii="仿宋_GB2312" w:hAnsi="Times New Roman" w:eastAsia="仿宋_GB2312" w:cs="DengXian-Regular"/>
          <w:sz w:val="32"/>
          <w:szCs w:val="32"/>
          <w:lang w:val="en-US" w:eastAsia="zh-CN"/>
        </w:rPr>
        <w:t>2137.47</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68.25</w:t>
      </w:r>
      <w:r>
        <w:rPr>
          <w:rFonts w:hint="eastAsia" w:ascii="仿宋_GB2312" w:hAnsi="Times New Roman" w:eastAsia="仿宋_GB2312" w:cs="DengXian-Regular"/>
          <w:sz w:val="32"/>
          <w:szCs w:val="32"/>
        </w:rPr>
        <w:t>%，主要用于于防汛、村级公益事业建设、村民委员会和村党支部建设等支；灾害防治及应急管理（类）支出</w:t>
      </w:r>
      <w:r>
        <w:rPr>
          <w:rFonts w:hint="eastAsia" w:ascii="仿宋_GB2312" w:hAnsi="Times New Roman" w:eastAsia="仿宋_GB2312" w:cs="DengXian-Regular"/>
          <w:sz w:val="32"/>
          <w:szCs w:val="32"/>
          <w:lang w:val="en-US" w:eastAsia="zh-CN"/>
        </w:rPr>
        <w:t>7.28</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0.25</w:t>
      </w:r>
      <w:r>
        <w:rPr>
          <w:rFonts w:hint="eastAsia" w:ascii="仿宋_GB2312" w:hAnsi="Times New Roman" w:eastAsia="仿宋_GB2312" w:cs="DengXian-Regular"/>
          <w:sz w:val="32"/>
          <w:szCs w:val="32"/>
        </w:rPr>
        <w:t>%，主要用于森林消防应急救援等支出；国有资本经营类支出</w:t>
      </w:r>
      <w:r>
        <w:rPr>
          <w:rFonts w:hint="eastAsia" w:ascii="仿宋_GB2312" w:hAnsi="Times New Roman" w:eastAsia="仿宋_GB2312" w:cs="DengXian-Regular"/>
          <w:sz w:val="32"/>
          <w:szCs w:val="32"/>
          <w:lang w:val="en-US" w:eastAsia="zh-CN"/>
        </w:rPr>
        <w:t>65.65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2.09</w:t>
      </w:r>
      <w:r>
        <w:rPr>
          <w:rFonts w:hint="eastAsia" w:ascii="仿宋_GB2312" w:hAnsi="Times New Roman" w:eastAsia="仿宋_GB2312" w:cs="DengXian-Regular"/>
          <w:sz w:val="32"/>
          <w:szCs w:val="32"/>
        </w:rPr>
        <w:t>%，主要用于国有企业社会化管理支出。</w:t>
      </w:r>
    </w:p>
    <w:p>
      <w:pPr>
        <w:adjustRightInd w:val="0"/>
        <w:snapToGrid w:val="0"/>
        <w:spacing w:line="580" w:lineRule="exact"/>
        <w:rPr>
          <w:rFonts w:hint="default" w:ascii="仿宋_GB2312" w:hAnsi="Times New Roman" w:eastAsia="仿宋_GB2312" w:cs="DengXian-Regular"/>
          <w:sz w:val="32"/>
          <w:szCs w:val="32"/>
          <w:lang w:val="en-US" w:eastAsia="zh-CN"/>
        </w:rPr>
      </w:pPr>
      <w:r>
        <w:rPr>
          <w:rFonts w:hint="default" w:ascii="仿宋_GB2312" w:hAnsi="Times New Roman" w:eastAsia="仿宋_GB2312" w:cs="DengXian-Regular"/>
          <w:sz w:val="32"/>
          <w:szCs w:val="32"/>
          <w:lang w:val="en-US" w:eastAsia="zh-CN"/>
        </w:rPr>
        <w:drawing>
          <wp:anchor distT="0" distB="0" distL="114300" distR="114300" simplePos="0" relativeHeight="251670528" behindDoc="1" locked="0" layoutInCell="1" allowOverlap="1">
            <wp:simplePos x="0" y="0"/>
            <wp:positionH relativeFrom="column">
              <wp:posOffset>690880</wp:posOffset>
            </wp:positionH>
            <wp:positionV relativeFrom="paragraph">
              <wp:posOffset>29210</wp:posOffset>
            </wp:positionV>
            <wp:extent cx="3781425" cy="2435860"/>
            <wp:effectExtent l="5080" t="4445" r="4445" b="17145"/>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_GB2312" w:hAnsi="Times New Roman" w:eastAsia="仿宋_GB2312" w:cs="DengXian-Regular"/>
          <w:sz w:val="32"/>
          <w:szCs w:val="32"/>
          <w:lang w:val="en-US" w:eastAsia="zh-CN"/>
        </w:rPr>
        <w:t xml:space="preserve">      </w:t>
      </w: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rPr>
          <w:rFonts w:hint="eastAsia" w:ascii="仿宋_GB2312" w:hAnsi="Times New Roman" w:eastAsia="仿宋_GB2312" w:cs="DengXian-Regular"/>
          <w:sz w:val="32"/>
          <w:szCs w:val="32"/>
        </w:rPr>
      </w:pP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2023年度财政拨款基本支出</w:t>
      </w:r>
      <w:r>
        <w:rPr>
          <w:rFonts w:hint="eastAsia" w:ascii="仿宋_GB2312" w:hAnsi="Times New Roman" w:eastAsia="仿宋_GB2312" w:cs="DengXian-Regular"/>
          <w:sz w:val="32"/>
          <w:szCs w:val="32"/>
          <w:lang w:val="en-US" w:eastAsia="zh-CN"/>
        </w:rPr>
        <w:t>921.19</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hint="eastAsia" w:ascii="仿宋_GB2312" w:hAnsi="Times New Roman" w:eastAsia="仿宋_GB2312" w:cs="DengXian-Regular"/>
          <w:sz w:val="32"/>
          <w:szCs w:val="32"/>
          <w:lang w:val="en-US" w:eastAsia="zh-CN"/>
        </w:rPr>
      </w:pPr>
      <w:r>
        <w:rPr>
          <w:rFonts w:hint="eastAsia" w:ascii="仿宋_GB2312" w:hAnsi="Times New Roman" w:eastAsia="仿宋_GB2312" w:cs="DengXian-Regular"/>
          <w:sz w:val="32"/>
          <w:szCs w:val="32"/>
        </w:rPr>
        <w:t>人员经费</w:t>
      </w:r>
      <w:r>
        <w:rPr>
          <w:rFonts w:hint="eastAsia" w:ascii="仿宋_GB2312" w:hAnsi="Times New Roman" w:eastAsia="仿宋_GB2312" w:cs="DengXian-Regular"/>
          <w:sz w:val="32"/>
          <w:szCs w:val="32"/>
          <w:lang w:val="en-US" w:eastAsia="zh-CN"/>
        </w:rPr>
        <w:t>851.65</w:t>
      </w:r>
      <w:r>
        <w:rPr>
          <w:rFonts w:hint="eastAsia" w:ascii="仿宋_GB2312" w:hAnsi="Times New Roman" w:eastAsia="仿宋_GB2312" w:cs="DengXian-Regular"/>
          <w:sz w:val="32"/>
          <w:szCs w:val="32"/>
        </w:rPr>
        <w:t>万元，主要包括基本工资、津贴补贴、奖金、绩效工资、机关事业单位基本养老保险缴费、职业年金缴费、职工基本医疗保险缴费、住房公积金、医疗费、其他社会保障缴费、其他工资福利支出、离休费、退休费、其他对个人和家庭的补助支出。公用经费</w:t>
      </w:r>
      <w:r>
        <w:rPr>
          <w:rFonts w:hint="eastAsia" w:ascii="仿宋_GB2312" w:hAnsi="Times New Roman" w:eastAsia="仿宋_GB2312" w:cs="DengXian-Regular"/>
          <w:sz w:val="32"/>
          <w:szCs w:val="32"/>
          <w:lang w:val="en-US" w:eastAsia="zh-CN"/>
        </w:rPr>
        <w:t>69.54</w:t>
      </w:r>
      <w:r>
        <w:rPr>
          <w:rFonts w:hint="eastAsia" w:ascii="仿宋_GB2312" w:hAnsi="Times New Roman" w:eastAsia="仿宋_GB2312" w:cs="DengXian-Regular"/>
          <w:sz w:val="32"/>
          <w:szCs w:val="32"/>
        </w:rPr>
        <w:t>万元，主要包括办公费、电费、邮电费、取暖费、差旅费、其他交通费用</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其他商品和服务支出</w:t>
      </w:r>
      <w:r>
        <w:rPr>
          <w:rFonts w:hint="eastAsia" w:ascii="仿宋_GB2312" w:hAnsi="Times New Roman" w:eastAsia="仿宋_GB2312" w:cs="DengXian-Regular"/>
          <w:sz w:val="32"/>
          <w:szCs w:val="32"/>
          <w:lang w:eastAsia="zh-CN"/>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五、财政拨款“三公” 经费支出决算情况说明</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w:t>
      </w:r>
      <w:bookmarkStart w:id="0" w:name="_Hlk181274820"/>
      <w:r>
        <w:rPr>
          <w:rFonts w:hint="eastAsia" w:ascii="楷体_GB2312" w:hAnsi="Times New Roman" w:eastAsia="楷体_GB2312" w:cs="DengXian-Bold"/>
          <w:b/>
          <w:bCs/>
          <w:sz w:val="32"/>
          <w:szCs w:val="32"/>
        </w:rPr>
        <w:t>“三公”经费</w:t>
      </w:r>
      <w:bookmarkEnd w:id="0"/>
      <w:r>
        <w:rPr>
          <w:rFonts w:hint="eastAsia" w:ascii="楷体_GB2312" w:hAnsi="Times New Roman" w:eastAsia="楷体_GB2312" w:cs="DengXian-Bold"/>
          <w:b/>
          <w:bCs/>
          <w:sz w:val="32"/>
          <w:szCs w:val="32"/>
        </w:rPr>
        <w:t>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本部门2023年度“三公”经费财政拨款支出预算为</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万元，支出决算为</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万元，完成预算的</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%,较预算增加0万元，增长0%，主要是本年度无“三公”预算财政收入；较2022年度决算增加0万元，增长0%，主要是本年度无“三公”预算财政收入。</w:t>
      </w:r>
    </w:p>
    <w:p>
      <w:p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本部门2023年度因公出国（境）费支出预算为</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万元，支出决算</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万元，完成预算的</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%。因公出国（境）费支出较预算增加0万元，增长0%,主要是本年度无因公出国（境）预算财政收入；较上年增加0万元，增长0%,主要是本年度无因公出国（境）预算财政收入。其中因公出国（境）团组</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个、共</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人、参加其他单位组织的因公出国（境）团组</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个、共</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b/>
          <w:bCs/>
          <w:sz w:val="32"/>
          <w:szCs w:val="32"/>
        </w:rPr>
        <w:t>/</w:t>
      </w:r>
      <w:r>
        <w:rPr>
          <w:rFonts w:hint="eastAsia" w:ascii="仿宋_GB2312" w:hAnsi="Times New Roman" w:eastAsia="仿宋_GB2312" w:cs="DengXian-Regular"/>
          <w:sz w:val="32"/>
          <w:szCs w:val="32"/>
        </w:rPr>
        <w:t>无本部门组织的出国（境）团组。</w:t>
      </w:r>
    </w:p>
    <w:p>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本部门2023年度公务用车购置及运行维护费预算为</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万元，支出决算</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万元，完成预算的</w:t>
      </w:r>
      <w:r>
        <w:rPr>
          <w:rFonts w:ascii="仿宋_GB2312" w:hAnsi="Times New Roman" w:eastAsia="仿宋_GB2312" w:cs="DengXian-Regular"/>
          <w:sz w:val="32"/>
          <w:szCs w:val="32"/>
        </w:rPr>
        <w:t>0</w:t>
      </w:r>
      <w:r>
        <w:rPr>
          <w:rFonts w:hint="eastAsia" w:ascii="仿宋_GB2312" w:hAnsi="Times New Roman" w:eastAsia="仿宋_GB2312" w:cs="DengXian-Regular"/>
          <w:sz w:val="32"/>
          <w:szCs w:val="32"/>
        </w:rPr>
        <w:t>%。较预算增加0万元，增长0%,主要是本年度无公务用车购置及运行维护预算财政收入；较上年增加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%,主要是本年度无公务用车购置及运行维护预算财政</w:t>
      </w:r>
      <w:r>
        <w:rPr>
          <w:rFonts w:hint="eastAsia" w:ascii="仿宋_GB2312" w:hAnsi="Times New Roman" w:eastAsia="仿宋_GB2312" w:cs="DengXian-Regular"/>
          <w:sz w:val="32"/>
          <w:szCs w:val="32"/>
          <w:lang w:val="en-US" w:eastAsia="zh-CN"/>
        </w:rPr>
        <w:t>支出</w:t>
      </w:r>
      <w:r>
        <w:rPr>
          <w:rFonts w:hint="eastAsia" w:ascii="仿宋_GB2312" w:hAnsi="Times New Roman" w:eastAsia="仿宋_GB2312" w:cs="DengXian-Regular"/>
          <w:sz w:val="32"/>
          <w:szCs w:val="32"/>
        </w:rPr>
        <w:t>。</w:t>
      </w:r>
      <w:r>
        <w:rPr>
          <w:rFonts w:hint="eastAsia" w:ascii="仿宋_GB2312" w:hAnsi="Times New Roman" w:eastAsia="仿宋_GB2312" w:cs="DengXian-Bold"/>
          <w:sz w:val="32"/>
          <w:szCs w:val="32"/>
        </w:rPr>
        <w:t>其中：</w:t>
      </w:r>
    </w:p>
    <w:p>
      <w:pPr>
        <w:adjustRightInd w:val="0"/>
        <w:snapToGrid w:val="0"/>
        <w:spacing w:line="580" w:lineRule="exact"/>
        <w:ind w:firstLine="643" w:firstLineChars="200"/>
        <w:rPr>
          <w:rFonts w:ascii="仿宋_GB2312" w:hAnsi="Times New Roman" w:eastAsia="仿宋_GB2312" w:cs="DengXian-Regular"/>
          <w:color w:val="000000"/>
          <w:sz w:val="32"/>
          <w:szCs w:val="32"/>
          <w:highlight w:val="yellow"/>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本部门2023年度公务用车购置量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%,主要是本年度无公务用车购置费支出；较上年增加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%,主要是本年度无公务用车购置费支出。</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本部门2023年度单位财政开支公务用车保有量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%,主要是本年度无公务用车运行维护费支出；较上年增加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%，主要是本年度无公务用车运行维护费支出。</w:t>
      </w:r>
    </w:p>
    <w:p>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本部门2023年度公务接待费支出预算为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%。公务接待费支出较预算增加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%,主要是本年度无公务接待费支出；较上年度减少</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%,主要是本年度无公务接待费支出。本年度共发生公务接待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w:t>
      </w:r>
    </w:p>
    <w:p>
      <w:pPr>
        <w:adjustRightInd w:val="0"/>
        <w:snapToGrid w:val="0"/>
        <w:spacing w:line="580" w:lineRule="exact"/>
        <w:ind w:left="420" w:leftChars="200" w:firstLine="320" w:firstLineChars="1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六、机关运行经费支出说明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本部门2023年度机关运行经费支出</w:t>
      </w:r>
      <w:r>
        <w:rPr>
          <w:rFonts w:hint="eastAsia" w:ascii="仿宋_GB2312" w:hAnsi="Times New Roman" w:eastAsia="仿宋_GB2312" w:cs="DengXian-Regular"/>
          <w:sz w:val="32"/>
          <w:szCs w:val="32"/>
          <w:lang w:val="en-US" w:eastAsia="zh-CN"/>
        </w:rPr>
        <w:t>69.54</w:t>
      </w:r>
      <w:r>
        <w:rPr>
          <w:rFonts w:hint="eastAsia" w:ascii="仿宋_GB2312" w:hAnsi="Times New Roman" w:eastAsia="仿宋_GB2312" w:cs="DengXian-Regular"/>
          <w:sz w:val="32"/>
          <w:szCs w:val="32"/>
        </w:rPr>
        <w:t>万元，较2022年度减少</w:t>
      </w:r>
      <w:r>
        <w:rPr>
          <w:rFonts w:hint="eastAsia" w:ascii="仿宋_GB2312" w:hAnsi="Times New Roman" w:eastAsia="仿宋_GB2312" w:cs="DengXian-Regular"/>
          <w:sz w:val="32"/>
          <w:szCs w:val="32"/>
          <w:lang w:val="en-US" w:eastAsia="zh-CN"/>
        </w:rPr>
        <w:t>709.41</w:t>
      </w:r>
      <w:r>
        <w:rPr>
          <w:rFonts w:hint="eastAsia" w:ascii="仿宋_GB2312" w:hAnsi="Times New Roman" w:eastAsia="仿宋_GB2312" w:cs="DengXian-Regular"/>
          <w:sz w:val="32"/>
          <w:szCs w:val="32"/>
        </w:rPr>
        <w:t>万元，降低</w:t>
      </w:r>
      <w:r>
        <w:rPr>
          <w:rFonts w:hint="eastAsia" w:ascii="仿宋_GB2312" w:hAnsi="Times New Roman" w:eastAsia="仿宋_GB2312" w:cs="DengXian-Regular"/>
          <w:sz w:val="32"/>
          <w:szCs w:val="32"/>
          <w:lang w:val="en-US" w:eastAsia="zh-CN"/>
        </w:rPr>
        <w:t>91.07</w:t>
      </w:r>
      <w:r>
        <w:rPr>
          <w:rFonts w:hint="eastAsia" w:ascii="仿宋_GB2312" w:hAnsi="Times New Roman" w:eastAsia="仿宋_GB2312" w:cs="DengXian-Regular"/>
          <w:sz w:val="32"/>
          <w:szCs w:val="32"/>
        </w:rPr>
        <w:t>x%。主要原因是办公经费及日常费用</w:t>
      </w:r>
      <w:r>
        <w:rPr>
          <w:rFonts w:hint="eastAsia" w:ascii="仿宋_GB2312" w:hAnsi="Times New Roman" w:eastAsia="仿宋_GB2312" w:cs="DengXian-Regular"/>
          <w:sz w:val="32"/>
          <w:szCs w:val="32"/>
          <w:lang w:val="en-US" w:eastAsia="zh-CN"/>
        </w:rPr>
        <w:t>减少</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七、政府采购支出说明</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本部门2023年度政府采购支出总额</w:t>
      </w:r>
      <w:r>
        <w:rPr>
          <w:rFonts w:hint="eastAsia" w:ascii="仿宋_GB2312" w:hAnsi="Times New Roman" w:eastAsia="仿宋_GB2312" w:cs="DengXian-Regular"/>
          <w:sz w:val="32"/>
          <w:szCs w:val="32"/>
          <w:lang w:val="en-US" w:eastAsia="zh-CN"/>
        </w:rPr>
        <w:t>268.81</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2.10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266.71</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268.81</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100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268.81</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100</w:t>
      </w:r>
      <w:r>
        <w:rPr>
          <w:rFonts w:ascii="仿宋_GB2312" w:hAnsi="仿宋_GB2312" w:eastAsia="仿宋_GB2312" w:cs="仿宋_GB2312"/>
          <w:color w:val="000000"/>
          <w:kern w:val="0"/>
          <w:sz w:val="32"/>
          <w:szCs w:val="32"/>
          <w:lang w:bidi="ar"/>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八、国有资产占用情况说明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截至2023年12月31日，本部门共有车辆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辆，主要是</w:t>
      </w:r>
      <w:r>
        <w:rPr>
          <w:rFonts w:hint="eastAsia" w:ascii="仿宋_GB2312" w:hAnsi="Times New Roman" w:eastAsia="仿宋_GB2312" w:cs="DengXian-Regular"/>
          <w:sz w:val="32"/>
          <w:szCs w:val="32"/>
          <w:lang w:val="en-US" w:eastAsia="zh-CN"/>
        </w:rPr>
        <w:t>本单位无</w:t>
      </w:r>
      <w:r>
        <w:rPr>
          <w:rFonts w:hint="eastAsia" w:ascii="仿宋_GB2312" w:hAnsi="Times New Roman" w:eastAsia="仿宋_GB2312" w:cs="DengXian-Regular"/>
          <w:sz w:val="32"/>
          <w:szCs w:val="32"/>
        </w:rPr>
        <w:t>公务用车。其中，副部（省）级及以上领导用车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辆，其他用车主要是</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；单位价值100万元以上设备（不含车辆）</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九、预算绩效情况说明</w:t>
      </w:r>
    </w:p>
    <w:p>
      <w:pPr>
        <w:adjustRightInd w:val="0"/>
        <w:snapToGrid w:val="0"/>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left="420" w:lef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年度一般公共预算项目支出全面开展绩效自评，其中，一级项目0个，二级项目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万元，占一般公共预算项目支出总的100%。组织对202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年度0个政府性基金预算项目支出开展绩效自评，共涉及资金 0 万元，占政府性基金预算项目支出总额的100%。未有开展重点评价的二级项目，涉及一般公共预算支出0万元，政府性基金预算支出0万元。从评价情况来看，完成了年初设定的各项绩效目标，财政拨款资金支付进度达到100%，保障了相关工作正常顺利开展，按计划及时保质保量完成了本年度相关工作，服务满意度较高，社会正面影响良好。</w:t>
      </w:r>
    </w:p>
    <w:p>
      <w:pPr>
        <w:adjustRightInd w:val="0"/>
        <w:snapToGrid w:val="0"/>
        <w:spacing w:line="580" w:lineRule="exact"/>
        <w:ind w:left="420" w:leftChars="200" w:firstLine="640" w:firstLineChars="200"/>
        <w:rPr>
          <w:rFonts w:hint="eastAsia" w:ascii="仿宋_GB2312" w:hAnsi="仿宋_GB2312" w:eastAsia="仿宋_GB2312" w:cs="仿宋_GB2312"/>
          <w:sz w:val="32"/>
          <w:szCs w:val="32"/>
        </w:rPr>
      </w:pPr>
    </w:p>
    <w:p>
      <w:pPr>
        <w:adjustRightInd w:val="0"/>
        <w:snapToGrid w:val="0"/>
        <w:spacing w:line="58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spacing w:before="71" w:line="580" w:lineRule="exact"/>
        <w:ind w:firstLine="580" w:firstLineChars="200"/>
        <w:rPr>
          <w:rFonts w:hint="eastAsia" w:ascii="宋体" w:hAnsi="宋体" w:eastAsia="宋体" w:cs="宋体"/>
          <w:spacing w:val="-13"/>
          <w:sz w:val="24"/>
          <w:szCs w:val="24"/>
        </w:rPr>
      </w:pPr>
      <w:r>
        <w:rPr>
          <w:rFonts w:hint="eastAsia" w:ascii="仿宋" w:hAnsi="仿宋" w:eastAsia="仿宋" w:cs="仿宋"/>
          <w:spacing w:val="-15"/>
          <w:sz w:val="32"/>
          <w:szCs w:val="32"/>
        </w:rPr>
        <w:t>根据上级预算绩效管理要求，</w:t>
      </w:r>
      <w:r>
        <w:rPr>
          <w:rFonts w:hint="eastAsia" w:ascii="仿宋" w:hAnsi="仿宋" w:eastAsia="仿宋" w:cs="仿宋"/>
          <w:spacing w:val="-67"/>
          <w:sz w:val="32"/>
          <w:szCs w:val="32"/>
        </w:rPr>
        <w:t xml:space="preserve"> </w:t>
      </w:r>
      <w:r>
        <w:rPr>
          <w:rFonts w:hint="eastAsia" w:ascii="仿宋" w:hAnsi="仿宋" w:eastAsia="仿宋" w:cs="仿宋"/>
          <w:spacing w:val="-15"/>
          <w:sz w:val="32"/>
          <w:szCs w:val="32"/>
        </w:rPr>
        <w:t>本单位以“单位职责-工作活</w:t>
      </w:r>
      <w:r>
        <w:rPr>
          <w:rFonts w:hint="eastAsia" w:ascii="仿宋" w:hAnsi="仿宋" w:eastAsia="仿宋" w:cs="仿宋"/>
          <w:sz w:val="32"/>
          <w:szCs w:val="32"/>
        </w:rPr>
        <w:t xml:space="preserve"> </w:t>
      </w:r>
      <w:r>
        <w:rPr>
          <w:rFonts w:hint="eastAsia" w:ascii="仿宋" w:hAnsi="仿宋" w:eastAsia="仿宋" w:cs="仿宋"/>
          <w:spacing w:val="-19"/>
          <w:sz w:val="32"/>
          <w:szCs w:val="32"/>
        </w:rPr>
        <w:t>动”为依据，</w:t>
      </w:r>
      <w:r>
        <w:rPr>
          <w:rFonts w:hint="eastAsia" w:ascii="仿宋" w:hAnsi="仿宋" w:eastAsia="仿宋" w:cs="仿宋"/>
          <w:spacing w:val="-72"/>
          <w:sz w:val="32"/>
          <w:szCs w:val="32"/>
        </w:rPr>
        <w:t xml:space="preserve"> </w:t>
      </w:r>
      <w:r>
        <w:rPr>
          <w:rFonts w:hint="eastAsia" w:ascii="仿宋" w:hAnsi="仿宋" w:eastAsia="仿宋" w:cs="仿宋"/>
          <w:spacing w:val="-19"/>
          <w:sz w:val="32"/>
          <w:szCs w:val="32"/>
        </w:rPr>
        <w:t>确定单位预算项目和预算额度，</w:t>
      </w:r>
      <w:r>
        <w:rPr>
          <w:rFonts w:hint="eastAsia" w:ascii="仿宋" w:hAnsi="仿宋" w:eastAsia="仿宋" w:cs="仿宋"/>
          <w:spacing w:val="-66"/>
          <w:sz w:val="32"/>
          <w:szCs w:val="32"/>
        </w:rPr>
        <w:t xml:space="preserve"> </w:t>
      </w:r>
      <w:r>
        <w:rPr>
          <w:rFonts w:hint="eastAsia" w:ascii="仿宋" w:hAnsi="仿宋" w:eastAsia="仿宋" w:cs="仿宋"/>
          <w:spacing w:val="-19"/>
          <w:sz w:val="32"/>
          <w:szCs w:val="32"/>
        </w:rPr>
        <w:t>清</w:t>
      </w:r>
      <w:r>
        <w:rPr>
          <w:rFonts w:hint="eastAsia" w:ascii="仿宋" w:hAnsi="仿宋" w:eastAsia="仿宋" w:cs="仿宋"/>
          <w:spacing w:val="-20"/>
          <w:sz w:val="32"/>
          <w:szCs w:val="32"/>
        </w:rPr>
        <w:t xml:space="preserve">晰描述预算项目 </w:t>
      </w:r>
      <w:r>
        <w:rPr>
          <w:rFonts w:hint="eastAsia" w:ascii="仿宋" w:hAnsi="仿宋" w:eastAsia="仿宋" w:cs="仿宋"/>
          <w:spacing w:val="-11"/>
          <w:sz w:val="32"/>
          <w:szCs w:val="32"/>
        </w:rPr>
        <w:t>开支范围和内容，</w:t>
      </w:r>
      <w:r>
        <w:rPr>
          <w:rFonts w:hint="eastAsia" w:ascii="仿宋" w:hAnsi="仿宋" w:eastAsia="仿宋" w:cs="仿宋"/>
          <w:spacing w:val="-71"/>
          <w:sz w:val="32"/>
          <w:szCs w:val="32"/>
        </w:rPr>
        <w:t xml:space="preserve"> </w:t>
      </w:r>
      <w:r>
        <w:rPr>
          <w:rFonts w:hint="eastAsia" w:ascii="仿宋" w:hAnsi="仿宋" w:eastAsia="仿宋" w:cs="仿宋"/>
          <w:spacing w:val="-11"/>
          <w:sz w:val="32"/>
          <w:szCs w:val="32"/>
        </w:rPr>
        <w:t>确定预算项目的绩效目标、绩效指标和评价标</w:t>
      </w:r>
      <w:r>
        <w:rPr>
          <w:rFonts w:hint="eastAsia" w:ascii="仿宋" w:hAnsi="仿宋" w:eastAsia="仿宋" w:cs="仿宋"/>
          <w:spacing w:val="-12"/>
          <w:sz w:val="32"/>
          <w:szCs w:val="32"/>
        </w:rPr>
        <w:t>准，</w:t>
      </w:r>
      <w:r>
        <w:rPr>
          <w:rFonts w:hint="eastAsia" w:ascii="仿宋" w:hAnsi="仿宋" w:eastAsia="仿宋" w:cs="仿宋"/>
          <w:spacing w:val="-69"/>
          <w:sz w:val="32"/>
          <w:szCs w:val="32"/>
        </w:rPr>
        <w:t xml:space="preserve"> </w:t>
      </w:r>
      <w:r>
        <w:rPr>
          <w:rFonts w:hint="eastAsia" w:ascii="仿宋" w:hAnsi="仿宋" w:eastAsia="仿宋" w:cs="仿宋"/>
          <w:spacing w:val="-12"/>
          <w:sz w:val="32"/>
          <w:szCs w:val="32"/>
        </w:rPr>
        <w:t>为预算绩效控制、分析、评价打下好的基础，</w:t>
      </w:r>
      <w:r>
        <w:rPr>
          <w:rFonts w:hint="eastAsia" w:ascii="仿宋" w:hAnsi="仿宋" w:eastAsia="仿宋" w:cs="仿宋"/>
          <w:spacing w:val="-68"/>
          <w:sz w:val="32"/>
          <w:szCs w:val="32"/>
        </w:rPr>
        <w:t xml:space="preserve"> </w:t>
      </w:r>
      <w:r>
        <w:rPr>
          <w:rFonts w:hint="eastAsia" w:ascii="仿宋" w:hAnsi="仿宋" w:eastAsia="仿宋" w:cs="仿宋"/>
          <w:spacing w:val="-12"/>
          <w:sz w:val="32"/>
          <w:szCs w:val="32"/>
        </w:rPr>
        <w:t>并运用科学、</w:t>
      </w:r>
      <w:r>
        <w:rPr>
          <w:rFonts w:hint="eastAsia" w:ascii="仿宋" w:hAnsi="仿宋" w:eastAsia="仿宋" w:cs="仿宋"/>
          <w:spacing w:val="-13"/>
          <w:sz w:val="32"/>
          <w:szCs w:val="32"/>
        </w:rPr>
        <w:t>合理的绩效评价指标、评价标准和评价方法对本单位</w:t>
      </w:r>
      <w:r>
        <w:rPr>
          <w:rFonts w:hint="eastAsia" w:ascii="仿宋" w:hAnsi="仿宋" w:eastAsia="仿宋" w:cs="仿宋"/>
          <w:spacing w:val="44"/>
          <w:sz w:val="32"/>
          <w:szCs w:val="32"/>
          <w:lang w:val="en-US" w:eastAsia="zh-CN"/>
        </w:rPr>
        <w:t>2023</w:t>
      </w:r>
      <w:r>
        <w:rPr>
          <w:rFonts w:hint="eastAsia" w:ascii="仿宋" w:hAnsi="仿宋" w:eastAsia="仿宋" w:cs="仿宋"/>
          <w:spacing w:val="-13"/>
          <w:sz w:val="32"/>
          <w:szCs w:val="32"/>
        </w:rPr>
        <w:t>年度项目绩效进行了客观、公正的绩效评价，</w:t>
      </w:r>
      <w:r>
        <w:rPr>
          <w:rFonts w:hint="eastAsia" w:ascii="仿宋" w:hAnsi="仿宋" w:eastAsia="仿宋" w:cs="仿宋"/>
          <w:spacing w:val="-67"/>
          <w:sz w:val="32"/>
          <w:szCs w:val="32"/>
        </w:rPr>
        <w:t xml:space="preserve"> </w:t>
      </w:r>
      <w:r>
        <w:rPr>
          <w:rFonts w:hint="eastAsia" w:ascii="仿宋" w:hAnsi="仿宋" w:eastAsia="仿宋" w:cs="仿宋"/>
          <w:spacing w:val="-13"/>
          <w:sz w:val="32"/>
          <w:szCs w:val="32"/>
        </w:rPr>
        <w:t>整体评价较高</w:t>
      </w:r>
      <w:r>
        <w:rPr>
          <w:rFonts w:hint="eastAsia" w:ascii="仿宋" w:hAnsi="仿宋" w:eastAsia="仿宋" w:cs="仿宋"/>
          <w:spacing w:val="-44"/>
          <w:sz w:val="32"/>
          <w:szCs w:val="32"/>
        </w:rPr>
        <w:t xml:space="preserve"> </w:t>
      </w:r>
      <w:r>
        <w:rPr>
          <w:rFonts w:hint="eastAsia" w:ascii="仿宋" w:hAnsi="仿宋" w:eastAsia="仿宋" w:cs="仿宋"/>
          <w:spacing w:val="-13"/>
          <w:sz w:val="32"/>
          <w:szCs w:val="32"/>
        </w:rPr>
        <w:t>。各个项目绩效评价结果均在优、良以上</w:t>
      </w:r>
      <w:r>
        <w:rPr>
          <w:rFonts w:hint="eastAsia" w:ascii="仿宋" w:hAnsi="仿宋" w:eastAsia="仿宋" w:cs="仿宋"/>
          <w:spacing w:val="-13"/>
          <w:sz w:val="24"/>
          <w:szCs w:val="24"/>
        </w:rPr>
        <w:t>。</w:t>
      </w:r>
    </w:p>
    <w:tbl>
      <w:tblPr>
        <w:tblStyle w:val="18"/>
        <w:tblW w:w="9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4161"/>
        <w:gridCol w:w="2973"/>
        <w:gridCol w:w="66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9876" w:type="dxa"/>
            <w:gridSpan w:val="5"/>
            <w:tcBorders>
              <w:top w:val="single" w:color="FFFFFF" w:sz="4" w:space="0"/>
              <w:left w:val="single" w:color="FFFFFF" w:sz="2" w:space="0"/>
              <w:right w:val="single" w:color="FFFFFF" w:sz="2" w:space="0"/>
            </w:tcBorders>
          </w:tcPr>
          <w:p>
            <w:pPr>
              <w:rPr>
                <w:snapToGrid w:val="0"/>
                <w:color w:val="000000"/>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5" w:hRule="atLeast"/>
        </w:trPr>
        <w:tc>
          <w:tcPr>
            <w:tcW w:w="1180" w:type="dxa"/>
          </w:tcPr>
          <w:p>
            <w:pPr>
              <w:spacing w:line="323" w:lineRule="auto"/>
              <w:rPr>
                <w:snapToGrid w:val="0"/>
                <w:color w:val="000000"/>
                <w:lang w:eastAsia="en-US"/>
              </w:rPr>
            </w:pPr>
          </w:p>
          <w:p>
            <w:pPr>
              <w:spacing w:line="324" w:lineRule="auto"/>
              <w:rPr>
                <w:snapToGrid w:val="0"/>
                <w:color w:val="000000"/>
                <w:lang w:eastAsia="en-US"/>
              </w:rPr>
            </w:pPr>
          </w:p>
          <w:p>
            <w:pPr>
              <w:pStyle w:val="19"/>
              <w:spacing w:before="65" w:line="229" w:lineRule="auto"/>
              <w:ind w:left="169"/>
            </w:pPr>
            <w:r>
              <w:rPr>
                <w:rFonts w:hint="eastAsia" w:ascii="宋体" w:hAnsi="宋体" w:eastAsia="宋体" w:cs="宋体"/>
                <w:b/>
                <w:bCs/>
                <w:spacing w:val="6"/>
              </w:rPr>
              <w:t>职责活动</w:t>
            </w:r>
          </w:p>
        </w:tc>
        <w:tc>
          <w:tcPr>
            <w:tcW w:w="4161" w:type="dxa"/>
          </w:tcPr>
          <w:p>
            <w:pPr>
              <w:spacing w:line="324" w:lineRule="auto"/>
              <w:rPr>
                <w:snapToGrid w:val="0"/>
                <w:color w:val="000000"/>
                <w:lang w:eastAsia="en-US"/>
              </w:rPr>
            </w:pPr>
          </w:p>
          <w:p>
            <w:pPr>
              <w:spacing w:line="324" w:lineRule="auto"/>
              <w:rPr>
                <w:snapToGrid w:val="0"/>
                <w:color w:val="000000"/>
                <w:lang w:eastAsia="en-US"/>
              </w:rPr>
            </w:pPr>
          </w:p>
          <w:p>
            <w:pPr>
              <w:pStyle w:val="19"/>
              <w:spacing w:before="65" w:line="228" w:lineRule="auto"/>
              <w:ind w:left="1685"/>
            </w:pPr>
            <w:r>
              <w:rPr>
                <w:rFonts w:hint="eastAsia" w:ascii="宋体" w:hAnsi="宋体" w:eastAsia="宋体" w:cs="宋体"/>
                <w:b/>
                <w:bCs/>
              </w:rPr>
              <w:t>内容描述</w:t>
            </w:r>
          </w:p>
        </w:tc>
        <w:tc>
          <w:tcPr>
            <w:tcW w:w="2973" w:type="dxa"/>
          </w:tcPr>
          <w:p>
            <w:pPr>
              <w:spacing w:line="323" w:lineRule="auto"/>
              <w:rPr>
                <w:snapToGrid w:val="0"/>
                <w:color w:val="000000"/>
                <w:lang w:eastAsia="en-US"/>
              </w:rPr>
            </w:pPr>
          </w:p>
          <w:p>
            <w:pPr>
              <w:spacing w:line="324" w:lineRule="auto"/>
              <w:rPr>
                <w:snapToGrid w:val="0"/>
                <w:color w:val="000000"/>
                <w:lang w:eastAsia="en-US"/>
              </w:rPr>
            </w:pPr>
          </w:p>
          <w:p>
            <w:pPr>
              <w:pStyle w:val="19"/>
              <w:spacing w:before="65" w:line="229" w:lineRule="auto"/>
              <w:ind w:left="1071"/>
            </w:pPr>
            <w:r>
              <w:rPr>
                <w:rFonts w:hint="eastAsia" w:ascii="宋体" w:hAnsi="宋体" w:eastAsia="宋体" w:cs="宋体"/>
                <w:b/>
                <w:bCs/>
                <w:spacing w:val="5"/>
              </w:rPr>
              <w:t>绩效目标</w:t>
            </w:r>
          </w:p>
        </w:tc>
        <w:tc>
          <w:tcPr>
            <w:tcW w:w="661" w:type="dxa"/>
          </w:tcPr>
          <w:p>
            <w:pPr>
              <w:spacing w:line="248" w:lineRule="auto"/>
              <w:rPr>
                <w:snapToGrid w:val="0"/>
                <w:color w:val="000000"/>
                <w:lang w:eastAsia="en-US"/>
              </w:rPr>
            </w:pPr>
          </w:p>
          <w:p>
            <w:pPr>
              <w:spacing w:line="249" w:lineRule="auto"/>
              <w:rPr>
                <w:snapToGrid w:val="0"/>
                <w:color w:val="000000"/>
                <w:lang w:eastAsia="en-US"/>
              </w:rPr>
            </w:pPr>
          </w:p>
          <w:p>
            <w:pPr>
              <w:pStyle w:val="19"/>
              <w:spacing w:before="65" w:line="253" w:lineRule="auto"/>
              <w:ind w:left="128" w:right="113"/>
            </w:pPr>
            <w:r>
              <w:rPr>
                <w:rFonts w:hint="eastAsia" w:ascii="宋体" w:hAnsi="宋体" w:eastAsia="宋体" w:cs="宋体"/>
                <w:b/>
                <w:bCs/>
                <w:spacing w:val="2"/>
              </w:rPr>
              <w:t>绩效</w:t>
            </w:r>
            <w:r>
              <w:t xml:space="preserve"> </w:t>
            </w:r>
            <w:r>
              <w:rPr>
                <w:rFonts w:hint="eastAsia" w:ascii="宋体" w:hAnsi="宋体" w:eastAsia="宋体" w:cs="宋体"/>
                <w:b/>
                <w:bCs/>
                <w:spacing w:val="2"/>
              </w:rPr>
              <w:t>指标</w:t>
            </w:r>
          </w:p>
        </w:tc>
        <w:tc>
          <w:tcPr>
            <w:tcW w:w="901" w:type="dxa"/>
          </w:tcPr>
          <w:p>
            <w:pPr>
              <w:spacing w:line="349" w:lineRule="auto"/>
              <w:rPr>
                <w:snapToGrid w:val="0"/>
                <w:color w:val="000000"/>
                <w:lang w:eastAsia="en-US"/>
              </w:rPr>
            </w:pPr>
          </w:p>
          <w:p>
            <w:pPr>
              <w:pStyle w:val="19"/>
              <w:spacing w:before="65" w:line="229" w:lineRule="auto"/>
              <w:ind w:left="173"/>
            </w:pPr>
            <w:r>
              <w:rPr>
                <w:rFonts w:hint="eastAsia" w:ascii="宋体" w:hAnsi="宋体" w:eastAsia="宋体" w:cs="宋体"/>
                <w:b/>
                <w:bCs/>
                <w:spacing w:val="-6"/>
              </w:rPr>
              <w:t>自评结</w:t>
            </w:r>
          </w:p>
          <w:p>
            <w:pPr>
              <w:pStyle w:val="19"/>
              <w:spacing w:before="51" w:line="229" w:lineRule="auto"/>
              <w:ind w:left="354"/>
            </w:pPr>
            <w:r>
              <w:rPr>
                <w:rFonts w:hint="eastAsia" w:ascii="宋体" w:hAnsi="宋体" w:eastAsia="宋体" w:cs="宋体"/>
                <w:b/>
                <w:bCs/>
                <w:spacing w:val="-3"/>
              </w:rPr>
              <w:t>果</w:t>
            </w:r>
          </w:p>
          <w:p>
            <w:pPr>
              <w:pStyle w:val="19"/>
              <w:spacing w:before="51" w:line="241" w:lineRule="auto"/>
              <w:ind w:left="149"/>
            </w:pPr>
            <w:r>
              <w:rPr>
                <w:rFonts w:hint="eastAsia" w:ascii="宋体" w:hAnsi="宋体" w:eastAsia="宋体" w:cs="宋体"/>
                <w:b/>
                <w:bCs/>
                <w:spacing w:val="31"/>
              </w:rPr>
              <w:t>（</w:t>
            </w:r>
            <w:r>
              <w:rPr>
                <w:b/>
                <w:bCs/>
                <w:spacing w:val="31"/>
              </w:rPr>
              <w:t>*</w:t>
            </w:r>
            <w:r>
              <w:rPr>
                <w:rFonts w:hint="eastAsia" w:ascii="宋体" w:hAnsi="宋体" w:eastAsia="宋体" w:cs="宋体"/>
                <w:b/>
                <w:bCs/>
                <w:spacing w:val="3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6" w:hRule="atLeast"/>
        </w:trPr>
        <w:tc>
          <w:tcPr>
            <w:tcW w:w="1180" w:type="dxa"/>
          </w:tcPr>
          <w:p>
            <w:pPr>
              <w:spacing w:line="447" w:lineRule="auto"/>
              <w:rPr>
                <w:snapToGrid w:val="0"/>
                <w:color w:val="000000"/>
                <w:lang w:eastAsia="en-US"/>
              </w:rPr>
            </w:pPr>
          </w:p>
          <w:p>
            <w:pPr>
              <w:pStyle w:val="19"/>
              <w:spacing w:before="65" w:line="253" w:lineRule="auto"/>
              <w:ind w:left="113" w:right="221"/>
            </w:pPr>
            <w:r>
              <w:rPr>
                <w:rFonts w:hint="eastAsia" w:ascii="宋体" w:hAnsi="宋体" w:eastAsia="宋体" w:cs="宋体"/>
                <w:b/>
                <w:bCs/>
                <w:spacing w:val="6"/>
              </w:rPr>
              <w:t>政府行政</w:t>
            </w:r>
            <w:r>
              <w:rPr>
                <w:rFonts w:hint="eastAsia" w:ascii="宋体" w:hAnsi="宋体" w:eastAsia="宋体" w:cs="宋体"/>
                <w:b/>
                <w:bCs/>
                <w:spacing w:val="3"/>
              </w:rPr>
              <w:t>运行</w:t>
            </w:r>
          </w:p>
        </w:tc>
        <w:tc>
          <w:tcPr>
            <w:tcW w:w="4161" w:type="dxa"/>
          </w:tcPr>
          <w:p>
            <w:pPr>
              <w:spacing w:line="296" w:lineRule="auto"/>
              <w:rPr>
                <w:snapToGrid w:val="0"/>
                <w:color w:val="000000"/>
                <w:lang w:eastAsia="zh-CN"/>
              </w:rPr>
            </w:pPr>
          </w:p>
          <w:p>
            <w:pPr>
              <w:pStyle w:val="19"/>
              <w:spacing w:before="65" w:line="261" w:lineRule="auto"/>
              <w:ind w:left="107" w:right="103"/>
              <w:jc w:val="both"/>
              <w:rPr>
                <w:lang w:eastAsia="zh-CN"/>
              </w:rPr>
            </w:pPr>
            <w:r>
              <w:rPr>
                <w:rFonts w:hint="eastAsia" w:ascii="宋体" w:hAnsi="宋体" w:eastAsia="宋体" w:cs="宋体"/>
                <w:spacing w:val="7"/>
                <w:lang w:eastAsia="zh-CN"/>
              </w:rPr>
              <w:t>执行上级国家行政机关的决定、命令和国家</w:t>
            </w:r>
            <w:r>
              <w:rPr>
                <w:spacing w:val="6"/>
                <w:lang w:eastAsia="zh-CN"/>
              </w:rPr>
              <w:t xml:space="preserve"> </w:t>
            </w:r>
            <w:r>
              <w:rPr>
                <w:rFonts w:hint="eastAsia" w:ascii="宋体" w:hAnsi="宋体" w:eastAsia="宋体" w:cs="宋体"/>
                <w:spacing w:val="7"/>
                <w:lang w:eastAsia="zh-CN"/>
              </w:rPr>
              <w:t>制定的法令、法规，根据实际制定并落实本</w:t>
            </w:r>
            <w:r>
              <w:rPr>
                <w:spacing w:val="2"/>
                <w:lang w:eastAsia="zh-CN"/>
              </w:rPr>
              <w:t xml:space="preserve"> </w:t>
            </w:r>
            <w:r>
              <w:rPr>
                <w:rFonts w:hint="eastAsia" w:ascii="宋体" w:hAnsi="宋体" w:eastAsia="宋体" w:cs="宋体"/>
                <w:spacing w:val="8"/>
                <w:lang w:eastAsia="zh-CN"/>
              </w:rPr>
              <w:t>行政区域的经济计划和措施，</w:t>
            </w:r>
          </w:p>
        </w:tc>
        <w:tc>
          <w:tcPr>
            <w:tcW w:w="2973" w:type="dxa"/>
          </w:tcPr>
          <w:p>
            <w:pPr>
              <w:pStyle w:val="19"/>
              <w:spacing w:before="66" w:line="264" w:lineRule="auto"/>
              <w:ind w:left="110" w:right="29"/>
              <w:rPr>
                <w:lang w:eastAsia="zh-CN"/>
              </w:rPr>
            </w:pPr>
            <w:r>
              <w:rPr>
                <w:rFonts w:hint="eastAsia" w:ascii="宋体" w:hAnsi="宋体" w:eastAsia="宋体" w:cs="宋体"/>
                <w:spacing w:val="9"/>
                <w:lang w:eastAsia="zh-CN"/>
              </w:rPr>
              <w:t>通过突出政务、提升服务，依</w:t>
            </w:r>
            <w:r>
              <w:rPr>
                <w:spacing w:val="1"/>
                <w:lang w:eastAsia="zh-CN"/>
              </w:rPr>
              <w:t xml:space="preserve">  </w:t>
            </w:r>
            <w:r>
              <w:rPr>
                <w:rFonts w:hint="eastAsia" w:ascii="宋体" w:hAnsi="宋体" w:eastAsia="宋体" w:cs="宋体"/>
                <w:spacing w:val="9"/>
                <w:lang w:eastAsia="zh-CN"/>
              </w:rPr>
              <w:t>法行政，增强工作综合服务实</w:t>
            </w:r>
            <w:r>
              <w:rPr>
                <w:lang w:eastAsia="zh-CN"/>
              </w:rPr>
              <w:t xml:space="preserve">  </w:t>
            </w:r>
            <w:r>
              <w:rPr>
                <w:rFonts w:hint="eastAsia" w:ascii="宋体" w:hAnsi="宋体" w:eastAsia="宋体" w:cs="宋体"/>
                <w:spacing w:val="10"/>
                <w:lang w:eastAsia="zh-CN"/>
              </w:rPr>
              <w:t>力，保障相关工作顺利开展、</w:t>
            </w:r>
            <w:r>
              <w:rPr>
                <w:spacing w:val="1"/>
                <w:lang w:eastAsia="zh-CN"/>
              </w:rPr>
              <w:t xml:space="preserve">  </w:t>
            </w:r>
            <w:r>
              <w:rPr>
                <w:rFonts w:hint="eastAsia" w:ascii="宋体" w:hAnsi="宋体" w:eastAsia="宋体" w:cs="宋体"/>
                <w:spacing w:val="1"/>
                <w:lang w:eastAsia="zh-CN"/>
              </w:rPr>
              <w:t>高效运行，构建人民群众满意、</w:t>
            </w:r>
            <w:r>
              <w:rPr>
                <w:spacing w:val="7"/>
                <w:lang w:eastAsia="zh-CN"/>
              </w:rPr>
              <w:t xml:space="preserve"> </w:t>
            </w:r>
            <w:r>
              <w:rPr>
                <w:rFonts w:hint="eastAsia" w:ascii="宋体" w:hAnsi="宋体" w:eastAsia="宋体" w:cs="宋体"/>
                <w:spacing w:val="9"/>
                <w:lang w:eastAsia="zh-CN"/>
              </w:rPr>
              <w:t>勤政廉洁的政府部门，促进本</w:t>
            </w:r>
          </w:p>
        </w:tc>
        <w:tc>
          <w:tcPr>
            <w:tcW w:w="661" w:type="dxa"/>
          </w:tcPr>
          <w:p>
            <w:pPr>
              <w:spacing w:line="296" w:lineRule="auto"/>
              <w:rPr>
                <w:snapToGrid w:val="0"/>
                <w:color w:val="000000"/>
                <w:lang w:eastAsia="zh-CN"/>
              </w:rPr>
            </w:pPr>
          </w:p>
          <w:p>
            <w:pPr>
              <w:pStyle w:val="19"/>
              <w:spacing w:before="6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19" w:lineRule="auto"/>
              <w:rPr>
                <w:snapToGrid w:val="0"/>
                <w:color w:val="000000"/>
                <w:lang w:eastAsia="en-US"/>
              </w:rPr>
            </w:pPr>
          </w:p>
          <w:p>
            <w:pPr>
              <w:spacing w:line="319"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bl>
    <w:p>
      <w:pPr>
        <w:sectPr>
          <w:pgSz w:w="11906" w:h="16839"/>
          <w:pgMar w:top="1429" w:right="1179" w:bottom="1134" w:left="1179" w:header="0" w:footer="0" w:gutter="0"/>
          <w:paperSrc/>
          <w:cols w:space="0" w:num="1"/>
          <w:rtlGutter w:val="0"/>
          <w:docGrid w:linePitch="0" w:charSpace="0"/>
        </w:sectPr>
      </w:pPr>
    </w:p>
    <w:p>
      <w:pPr>
        <w:spacing w:before="63"/>
      </w:pPr>
    </w:p>
    <w:p>
      <w:pPr>
        <w:spacing w:before="63"/>
      </w:pPr>
    </w:p>
    <w:tbl>
      <w:tblPr>
        <w:tblStyle w:val="18"/>
        <w:tblW w:w="9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4161"/>
        <w:gridCol w:w="2973"/>
        <w:gridCol w:w="66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180" w:type="dxa"/>
          </w:tcPr>
          <w:p>
            <w:pPr>
              <w:rPr>
                <w:snapToGrid w:val="0"/>
                <w:color w:val="000000"/>
                <w:lang w:eastAsia="en-US"/>
              </w:rPr>
            </w:pPr>
          </w:p>
        </w:tc>
        <w:tc>
          <w:tcPr>
            <w:tcW w:w="4161" w:type="dxa"/>
          </w:tcPr>
          <w:p>
            <w:pPr>
              <w:rPr>
                <w:snapToGrid w:val="0"/>
                <w:color w:val="000000"/>
                <w:lang w:eastAsia="en-US"/>
              </w:rPr>
            </w:pPr>
          </w:p>
        </w:tc>
        <w:tc>
          <w:tcPr>
            <w:tcW w:w="2973" w:type="dxa"/>
          </w:tcPr>
          <w:p>
            <w:pPr>
              <w:pStyle w:val="19"/>
              <w:spacing w:before="64" w:line="248" w:lineRule="auto"/>
              <w:ind w:left="112" w:right="131" w:firstLine="1"/>
              <w:rPr>
                <w:lang w:eastAsia="zh-CN"/>
              </w:rPr>
            </w:pPr>
            <w:r>
              <w:rPr>
                <w:rFonts w:hint="eastAsia" w:ascii="宋体" w:hAnsi="宋体" w:eastAsia="宋体" w:cs="宋体"/>
                <w:spacing w:val="9"/>
                <w:lang w:eastAsia="zh-CN"/>
              </w:rPr>
              <w:t>行政区域经济社会事业全面发</w:t>
            </w:r>
            <w:r>
              <w:rPr>
                <w:lang w:eastAsia="zh-CN"/>
              </w:rPr>
              <w:t xml:space="preserve"> </w:t>
            </w:r>
            <w:r>
              <w:rPr>
                <w:rFonts w:hint="eastAsia" w:ascii="宋体" w:hAnsi="宋体" w:eastAsia="宋体" w:cs="宋体"/>
                <w:spacing w:val="-1"/>
                <w:lang w:eastAsia="zh-CN"/>
              </w:rPr>
              <w:t>展。</w:t>
            </w:r>
          </w:p>
        </w:tc>
        <w:tc>
          <w:tcPr>
            <w:tcW w:w="661" w:type="dxa"/>
          </w:tcPr>
          <w:p>
            <w:pPr>
              <w:rPr>
                <w:snapToGrid w:val="0"/>
                <w:color w:val="000000"/>
                <w:lang w:eastAsia="zh-CN"/>
              </w:rPr>
            </w:pPr>
          </w:p>
        </w:tc>
        <w:tc>
          <w:tcPr>
            <w:tcW w:w="901" w:type="dxa"/>
          </w:tcPr>
          <w:p>
            <w:pPr>
              <w:rPr>
                <w:snapToGrid w:val="0"/>
                <w:color w:val="00000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289" w:lineRule="auto"/>
              <w:rPr>
                <w:snapToGrid w:val="0"/>
                <w:color w:val="000000"/>
                <w:lang w:eastAsia="zh-CN"/>
              </w:rPr>
            </w:pPr>
          </w:p>
          <w:p>
            <w:pPr>
              <w:pStyle w:val="19"/>
              <w:spacing w:before="65" w:line="253" w:lineRule="auto"/>
              <w:ind w:left="118" w:right="108" w:hanging="5"/>
            </w:pPr>
            <w:r>
              <w:rPr>
                <w:rFonts w:hint="eastAsia" w:ascii="宋体" w:hAnsi="宋体" w:eastAsia="宋体" w:cs="宋体"/>
                <w:b/>
                <w:bCs/>
                <w:spacing w:val="34"/>
              </w:rPr>
              <w:t>政府事务</w:t>
            </w:r>
            <w:r>
              <w:rPr>
                <w:spacing w:val="2"/>
              </w:rPr>
              <w:t xml:space="preserve"> </w:t>
            </w:r>
            <w:r>
              <w:rPr>
                <w:rFonts w:hint="eastAsia" w:ascii="宋体" w:hAnsi="宋体" w:eastAsia="宋体" w:cs="宋体"/>
                <w:b/>
                <w:bCs/>
                <w:spacing w:val="1"/>
              </w:rPr>
              <w:t>管理</w:t>
            </w:r>
          </w:p>
        </w:tc>
        <w:tc>
          <w:tcPr>
            <w:tcW w:w="4161" w:type="dxa"/>
          </w:tcPr>
          <w:p>
            <w:pPr>
              <w:pStyle w:val="19"/>
              <w:spacing w:before="58" w:line="262" w:lineRule="auto"/>
              <w:ind w:left="107" w:right="105"/>
              <w:rPr>
                <w:lang w:eastAsia="zh-CN"/>
              </w:rPr>
            </w:pPr>
            <w:r>
              <w:rPr>
                <w:rFonts w:hint="eastAsia" w:ascii="宋体" w:hAnsi="宋体" w:eastAsia="宋体" w:cs="宋体"/>
                <w:spacing w:val="7"/>
                <w:lang w:eastAsia="zh-CN"/>
              </w:rPr>
              <w:t>认真接办上级政府各部门和下级来文来电；</w:t>
            </w:r>
            <w:r>
              <w:rPr>
                <w:spacing w:val="3"/>
                <w:lang w:eastAsia="zh-CN"/>
              </w:rPr>
              <w:t xml:space="preserve"> </w:t>
            </w:r>
            <w:r>
              <w:rPr>
                <w:rFonts w:hint="eastAsia" w:ascii="宋体" w:hAnsi="宋体" w:eastAsia="宋体" w:cs="宋体"/>
                <w:spacing w:val="7"/>
                <w:lang w:eastAsia="zh-CN"/>
              </w:rPr>
              <w:t>按照有关要求，做好机关办公区房屋与附属</w:t>
            </w:r>
            <w:r>
              <w:rPr>
                <w:spacing w:val="2"/>
                <w:lang w:eastAsia="zh-CN"/>
              </w:rPr>
              <w:t xml:space="preserve"> </w:t>
            </w:r>
            <w:r>
              <w:rPr>
                <w:rFonts w:hint="eastAsia" w:ascii="宋体" w:hAnsi="宋体" w:eastAsia="宋体" w:cs="宋体"/>
                <w:spacing w:val="7"/>
                <w:lang w:eastAsia="zh-CN"/>
              </w:rPr>
              <w:t>设施的维修、维护工作；做好机关办公区绿</w:t>
            </w:r>
            <w:r>
              <w:rPr>
                <w:spacing w:val="2"/>
                <w:lang w:eastAsia="zh-CN"/>
              </w:rPr>
              <w:t xml:space="preserve"> </w:t>
            </w:r>
            <w:r>
              <w:rPr>
                <w:rFonts w:hint="eastAsia" w:ascii="宋体" w:hAnsi="宋体" w:eastAsia="宋体" w:cs="宋体"/>
                <w:lang w:eastAsia="zh-CN"/>
              </w:rPr>
              <w:t>化</w:t>
            </w:r>
          </w:p>
        </w:tc>
        <w:tc>
          <w:tcPr>
            <w:tcW w:w="2973" w:type="dxa"/>
          </w:tcPr>
          <w:p>
            <w:pPr>
              <w:pStyle w:val="19"/>
              <w:spacing w:before="58" w:line="262" w:lineRule="auto"/>
              <w:ind w:left="109" w:right="131"/>
              <w:jc w:val="both"/>
              <w:rPr>
                <w:lang w:eastAsia="zh-CN"/>
              </w:rPr>
            </w:pPr>
            <w:r>
              <w:rPr>
                <w:rFonts w:hint="eastAsia" w:ascii="宋体" w:hAnsi="宋体" w:eastAsia="宋体" w:cs="宋体"/>
                <w:spacing w:val="9"/>
                <w:lang w:eastAsia="zh-CN"/>
              </w:rPr>
              <w:t>及时办理各类来文来电，确保</w:t>
            </w:r>
            <w:r>
              <w:rPr>
                <w:spacing w:val="3"/>
                <w:lang w:eastAsia="zh-CN"/>
              </w:rPr>
              <w:t xml:space="preserve"> </w:t>
            </w:r>
            <w:r>
              <w:rPr>
                <w:rFonts w:hint="eastAsia" w:ascii="宋体" w:hAnsi="宋体" w:eastAsia="宋体" w:cs="宋体"/>
                <w:spacing w:val="9"/>
                <w:lang w:eastAsia="zh-CN"/>
              </w:rPr>
              <w:t>有关事项在第一时间得到领导</w:t>
            </w:r>
            <w:r>
              <w:rPr>
                <w:spacing w:val="3"/>
                <w:lang w:eastAsia="zh-CN"/>
              </w:rPr>
              <w:t xml:space="preserve"> </w:t>
            </w:r>
            <w:r>
              <w:rPr>
                <w:rFonts w:hint="eastAsia" w:ascii="宋体" w:hAnsi="宋体" w:eastAsia="宋体" w:cs="宋体"/>
                <w:spacing w:val="9"/>
                <w:lang w:eastAsia="zh-CN"/>
              </w:rPr>
              <w:t>批示意见；确保机关各项工作</w:t>
            </w:r>
            <w:r>
              <w:rPr>
                <w:spacing w:val="3"/>
                <w:lang w:eastAsia="zh-CN"/>
              </w:rPr>
              <w:t xml:space="preserve"> </w:t>
            </w:r>
            <w:r>
              <w:rPr>
                <w:rFonts w:hint="eastAsia" w:ascii="宋体" w:hAnsi="宋体" w:eastAsia="宋体" w:cs="宋体"/>
                <w:spacing w:val="6"/>
                <w:lang w:eastAsia="zh-CN"/>
              </w:rPr>
              <w:t>正常运转。</w:t>
            </w:r>
          </w:p>
        </w:tc>
        <w:tc>
          <w:tcPr>
            <w:tcW w:w="661" w:type="dxa"/>
          </w:tcPr>
          <w:p>
            <w:pPr>
              <w:pStyle w:val="19"/>
              <w:spacing w:before="207"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1" w:lineRule="auto"/>
              <w:rPr>
                <w:snapToGrid w:val="0"/>
                <w:color w:val="000000"/>
                <w:lang w:eastAsia="en-US"/>
              </w:rPr>
            </w:pPr>
          </w:p>
          <w:p>
            <w:pPr>
              <w:spacing w:line="242"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pStyle w:val="19"/>
              <w:spacing w:before="208" w:line="253" w:lineRule="auto"/>
              <w:ind w:left="117" w:right="221" w:hanging="3"/>
            </w:pPr>
            <w:r>
              <w:rPr>
                <w:rFonts w:hint="eastAsia" w:ascii="宋体" w:hAnsi="宋体" w:eastAsia="宋体" w:cs="宋体"/>
                <w:b/>
                <w:bCs/>
                <w:spacing w:val="6"/>
              </w:rPr>
              <w:t>财政事务</w:t>
            </w:r>
            <w:r>
              <w:t xml:space="preserve"> </w:t>
            </w:r>
            <w:r>
              <w:rPr>
                <w:rFonts w:hint="eastAsia" w:ascii="宋体" w:hAnsi="宋体" w:eastAsia="宋体" w:cs="宋体"/>
                <w:b/>
                <w:bCs/>
                <w:spacing w:val="1"/>
              </w:rPr>
              <w:t>管理</w:t>
            </w:r>
          </w:p>
        </w:tc>
        <w:tc>
          <w:tcPr>
            <w:tcW w:w="4161" w:type="dxa"/>
          </w:tcPr>
          <w:p>
            <w:pPr>
              <w:pStyle w:val="19"/>
              <w:spacing w:before="58" w:line="257" w:lineRule="auto"/>
              <w:ind w:left="105" w:right="105"/>
              <w:jc w:val="both"/>
            </w:pPr>
            <w:r>
              <w:rPr>
                <w:rFonts w:hint="eastAsia" w:ascii="宋体" w:hAnsi="宋体" w:eastAsia="宋体" w:cs="宋体"/>
                <w:spacing w:val="7"/>
                <w:lang w:eastAsia="zh-CN"/>
              </w:rPr>
              <w:t>对乡一级财政预算管理，管理乡公用经费的</w:t>
            </w:r>
            <w:r>
              <w:rPr>
                <w:spacing w:val="4"/>
                <w:lang w:eastAsia="zh-CN"/>
              </w:rPr>
              <w:t xml:space="preserve"> </w:t>
            </w:r>
            <w:r>
              <w:rPr>
                <w:rFonts w:hint="eastAsia" w:ascii="宋体" w:hAnsi="宋体" w:eastAsia="宋体" w:cs="宋体"/>
                <w:spacing w:val="7"/>
                <w:lang w:eastAsia="zh-CN"/>
              </w:rPr>
              <w:t>合理使用，对财政资金使用单位的资金运作</w:t>
            </w:r>
            <w:r>
              <w:rPr>
                <w:spacing w:val="5"/>
                <w:lang w:eastAsia="zh-CN"/>
              </w:rPr>
              <w:t xml:space="preserve"> </w:t>
            </w:r>
            <w:r>
              <w:rPr>
                <w:rFonts w:hint="eastAsia" w:ascii="宋体" w:hAnsi="宋体" w:eastAsia="宋体" w:cs="宋体"/>
                <w:spacing w:val="9"/>
                <w:lang w:eastAsia="zh-CN"/>
              </w:rPr>
              <w:t>进行监管。</w:t>
            </w:r>
            <w:r>
              <w:rPr>
                <w:rFonts w:hint="eastAsia" w:ascii="宋体" w:hAnsi="宋体" w:eastAsia="宋体" w:cs="宋体"/>
                <w:spacing w:val="9"/>
              </w:rPr>
              <w:t>发放各项惠农补</w:t>
            </w:r>
          </w:p>
        </w:tc>
        <w:tc>
          <w:tcPr>
            <w:tcW w:w="2973" w:type="dxa"/>
          </w:tcPr>
          <w:p>
            <w:pPr>
              <w:pStyle w:val="19"/>
              <w:spacing w:before="208" w:line="253" w:lineRule="auto"/>
              <w:ind w:left="112" w:right="342" w:hanging="1"/>
              <w:rPr>
                <w:lang w:eastAsia="zh-CN"/>
              </w:rPr>
            </w:pPr>
            <w:r>
              <w:rPr>
                <w:rFonts w:hint="eastAsia" w:ascii="宋体" w:hAnsi="宋体" w:eastAsia="宋体" w:cs="宋体"/>
                <w:spacing w:val="9"/>
                <w:lang w:eastAsia="zh-CN"/>
              </w:rPr>
              <w:t>保证各项财政资金使用的合</w:t>
            </w:r>
            <w:r>
              <w:rPr>
                <w:lang w:eastAsia="zh-CN"/>
              </w:rPr>
              <w:t xml:space="preserve"> </w:t>
            </w:r>
            <w:r>
              <w:rPr>
                <w:rFonts w:hint="eastAsia" w:ascii="宋体" w:hAnsi="宋体" w:eastAsia="宋体" w:cs="宋体"/>
                <w:spacing w:val="7"/>
                <w:lang w:eastAsia="zh-CN"/>
              </w:rPr>
              <w:t>理、安全、高效。</w:t>
            </w:r>
          </w:p>
        </w:tc>
        <w:tc>
          <w:tcPr>
            <w:tcW w:w="661" w:type="dxa"/>
          </w:tcPr>
          <w:p>
            <w:pPr>
              <w:pStyle w:val="19"/>
              <w:spacing w:before="58" w:line="257"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36" w:lineRule="auto"/>
              <w:rPr>
                <w:snapToGrid w:val="0"/>
                <w:color w:val="000000"/>
                <w:lang w:eastAsia="en-US"/>
              </w:rPr>
            </w:pPr>
          </w:p>
          <w:p>
            <w:pPr>
              <w:spacing w:before="57" w:line="195" w:lineRule="auto"/>
              <w:ind w:left="354"/>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pacing w:val="-2"/>
                <w:sz w:val="20"/>
                <w:szCs w:val="20"/>
                <w:lang w:eastAsia="en-US"/>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292" w:lineRule="auto"/>
              <w:rPr>
                <w:snapToGrid w:val="0"/>
                <w:color w:val="000000"/>
                <w:lang w:eastAsia="en-US"/>
              </w:rPr>
            </w:pPr>
          </w:p>
          <w:p>
            <w:pPr>
              <w:pStyle w:val="19"/>
              <w:spacing w:before="65" w:line="253" w:lineRule="auto"/>
              <w:ind w:left="118" w:right="221"/>
            </w:pPr>
            <w:r>
              <w:rPr>
                <w:rFonts w:hint="eastAsia" w:ascii="宋体" w:hAnsi="宋体" w:eastAsia="宋体" w:cs="宋体"/>
                <w:b/>
                <w:bCs/>
                <w:spacing w:val="5"/>
              </w:rPr>
              <w:t>统计事务</w:t>
            </w:r>
            <w:r>
              <w:t xml:space="preserve"> </w:t>
            </w:r>
            <w:r>
              <w:rPr>
                <w:rFonts w:hint="eastAsia" w:ascii="宋体" w:hAnsi="宋体" w:eastAsia="宋体" w:cs="宋体"/>
                <w:b/>
                <w:bCs/>
                <w:spacing w:val="1"/>
              </w:rPr>
              <w:t>管理</w:t>
            </w:r>
          </w:p>
        </w:tc>
        <w:tc>
          <w:tcPr>
            <w:tcW w:w="4161" w:type="dxa"/>
          </w:tcPr>
          <w:p>
            <w:pPr>
              <w:pStyle w:val="19"/>
              <w:spacing w:before="58" w:line="262" w:lineRule="auto"/>
              <w:ind w:left="106" w:right="103" w:firstLine="5"/>
              <w:jc w:val="both"/>
            </w:pPr>
            <w:r>
              <w:rPr>
                <w:rFonts w:hint="eastAsia" w:ascii="宋体" w:hAnsi="宋体" w:eastAsia="宋体" w:cs="宋体"/>
                <w:spacing w:val="6"/>
                <w:lang w:eastAsia="zh-CN"/>
              </w:rPr>
              <w:t>贯彻执行国家国民经济核算制度，核算全乡</w:t>
            </w:r>
            <w:r>
              <w:rPr>
                <w:spacing w:val="17"/>
                <w:lang w:eastAsia="zh-CN"/>
              </w:rPr>
              <w:t xml:space="preserve"> </w:t>
            </w:r>
            <w:r>
              <w:rPr>
                <w:rFonts w:hint="eastAsia" w:ascii="宋体" w:hAnsi="宋体" w:eastAsia="宋体" w:cs="宋体"/>
                <w:spacing w:val="7"/>
                <w:lang w:eastAsia="zh-CN"/>
              </w:rPr>
              <w:t>生产总值，整理、测算和提供国民经济核算</w:t>
            </w:r>
            <w:r>
              <w:rPr>
                <w:spacing w:val="6"/>
                <w:lang w:eastAsia="zh-CN"/>
              </w:rPr>
              <w:t xml:space="preserve"> </w:t>
            </w:r>
            <w:r>
              <w:rPr>
                <w:rFonts w:hint="eastAsia" w:ascii="宋体" w:hAnsi="宋体" w:eastAsia="宋体" w:cs="宋体"/>
                <w:spacing w:val="7"/>
                <w:lang w:eastAsia="zh-CN"/>
              </w:rPr>
              <w:t>资料，按上级要求组织实施涉及相关行业数</w:t>
            </w:r>
            <w:r>
              <w:rPr>
                <w:spacing w:val="4"/>
                <w:lang w:eastAsia="zh-CN"/>
              </w:rPr>
              <w:t xml:space="preserve"> </w:t>
            </w:r>
            <w:r>
              <w:rPr>
                <w:rFonts w:hint="eastAsia" w:ascii="宋体" w:hAnsi="宋体" w:eastAsia="宋体" w:cs="宋体"/>
                <w:spacing w:val="8"/>
                <w:lang w:eastAsia="zh-CN"/>
              </w:rPr>
              <w:t>据的专项统计调查。</w:t>
            </w:r>
            <w:r>
              <w:rPr>
                <w:rFonts w:hint="eastAsia" w:ascii="宋体" w:hAnsi="宋体" w:eastAsia="宋体" w:cs="宋体"/>
                <w:spacing w:val="8"/>
              </w:rPr>
              <w:t>其他日常工作。</w:t>
            </w:r>
          </w:p>
        </w:tc>
        <w:tc>
          <w:tcPr>
            <w:tcW w:w="2973" w:type="dxa"/>
          </w:tcPr>
          <w:p>
            <w:pPr>
              <w:pStyle w:val="19"/>
              <w:spacing w:before="207" w:line="261" w:lineRule="auto"/>
              <w:ind w:left="110" w:right="131" w:firstLine="1"/>
              <w:jc w:val="both"/>
              <w:rPr>
                <w:lang w:eastAsia="zh-CN"/>
              </w:rPr>
            </w:pPr>
            <w:r>
              <w:rPr>
                <w:rFonts w:hint="eastAsia" w:ascii="宋体" w:hAnsi="宋体" w:eastAsia="宋体" w:cs="宋体"/>
                <w:spacing w:val="9"/>
                <w:lang w:eastAsia="zh-CN"/>
              </w:rPr>
              <w:t>完成全乡年度数据的测算审核</w:t>
            </w:r>
            <w:r>
              <w:rPr>
                <w:spacing w:val="1"/>
                <w:lang w:eastAsia="zh-CN"/>
              </w:rPr>
              <w:t xml:space="preserve"> </w:t>
            </w:r>
            <w:r>
              <w:rPr>
                <w:rFonts w:hint="eastAsia" w:ascii="宋体" w:hAnsi="宋体" w:eastAsia="宋体" w:cs="宋体"/>
                <w:spacing w:val="9"/>
                <w:lang w:eastAsia="zh-CN"/>
              </w:rPr>
              <w:t>认定工作；完成必要分析，为</w:t>
            </w:r>
            <w:r>
              <w:rPr>
                <w:spacing w:val="2"/>
                <w:lang w:eastAsia="zh-CN"/>
              </w:rPr>
              <w:t xml:space="preserve"> </w:t>
            </w:r>
            <w:r>
              <w:rPr>
                <w:rFonts w:hint="eastAsia" w:ascii="宋体" w:hAnsi="宋体" w:eastAsia="宋体" w:cs="宋体"/>
                <w:spacing w:val="8"/>
                <w:lang w:eastAsia="zh-CN"/>
              </w:rPr>
              <w:t>相关经济决策提供重要依据。</w:t>
            </w:r>
          </w:p>
        </w:tc>
        <w:tc>
          <w:tcPr>
            <w:tcW w:w="661" w:type="dxa"/>
          </w:tcPr>
          <w:p>
            <w:pPr>
              <w:pStyle w:val="19"/>
              <w:spacing w:before="208"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2" w:lineRule="auto"/>
              <w:rPr>
                <w:snapToGrid w:val="0"/>
                <w:color w:val="000000"/>
                <w:lang w:eastAsia="en-US"/>
              </w:rPr>
            </w:pPr>
          </w:p>
          <w:p>
            <w:pPr>
              <w:spacing w:line="242"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pStyle w:val="19"/>
              <w:spacing w:before="211" w:line="253" w:lineRule="auto"/>
              <w:ind w:left="118" w:right="221" w:firstLine="16"/>
            </w:pPr>
            <w:r>
              <w:rPr>
                <w:rFonts w:hint="eastAsia" w:ascii="宋体" w:hAnsi="宋体" w:eastAsia="宋体" w:cs="宋体"/>
                <w:b/>
                <w:bCs/>
                <w:spacing w:val="1"/>
              </w:rPr>
              <w:t>民政事务</w:t>
            </w:r>
            <w:r>
              <w:t xml:space="preserve"> </w:t>
            </w:r>
            <w:r>
              <w:rPr>
                <w:rFonts w:hint="eastAsia" w:ascii="宋体" w:hAnsi="宋体" w:eastAsia="宋体" w:cs="宋体"/>
                <w:b/>
                <w:bCs/>
                <w:spacing w:val="1"/>
              </w:rPr>
              <w:t>管理</w:t>
            </w:r>
          </w:p>
        </w:tc>
        <w:tc>
          <w:tcPr>
            <w:tcW w:w="4161" w:type="dxa"/>
          </w:tcPr>
          <w:p>
            <w:pPr>
              <w:pStyle w:val="19"/>
              <w:spacing w:before="62" w:line="256" w:lineRule="auto"/>
              <w:ind w:left="108" w:right="32"/>
              <w:jc w:val="both"/>
            </w:pPr>
            <w:r>
              <w:rPr>
                <w:rFonts w:hint="eastAsia" w:ascii="宋体" w:hAnsi="宋体" w:eastAsia="宋体" w:cs="宋体"/>
                <w:spacing w:val="6"/>
                <w:lang w:eastAsia="zh-CN"/>
              </w:rPr>
              <w:t>完善社会救助体系建设，做好农村最低生活</w:t>
            </w:r>
            <w:r>
              <w:rPr>
                <w:spacing w:val="6"/>
                <w:lang w:eastAsia="zh-CN"/>
              </w:rPr>
              <w:t xml:space="preserve"> </w:t>
            </w:r>
            <w:r>
              <w:rPr>
                <w:rFonts w:hint="eastAsia" w:ascii="宋体" w:hAnsi="宋体" w:eastAsia="宋体" w:cs="宋体"/>
                <w:lang w:eastAsia="zh-CN"/>
              </w:rPr>
              <w:t>保障、五保供养、临时生活救助、医疗救助、</w:t>
            </w:r>
            <w:r>
              <w:rPr>
                <w:spacing w:val="9"/>
                <w:lang w:eastAsia="zh-CN"/>
              </w:rPr>
              <w:t xml:space="preserve"> </w:t>
            </w:r>
            <w:r>
              <w:rPr>
                <w:rFonts w:hint="eastAsia" w:ascii="宋体" w:hAnsi="宋体" w:eastAsia="宋体" w:cs="宋体"/>
                <w:spacing w:val="8"/>
                <w:lang w:eastAsia="zh-CN"/>
              </w:rPr>
              <w:t>救灾防灾等工作。</w:t>
            </w:r>
            <w:r>
              <w:rPr>
                <w:rFonts w:hint="eastAsia" w:ascii="宋体" w:hAnsi="宋体" w:eastAsia="宋体" w:cs="宋体"/>
                <w:spacing w:val="8"/>
              </w:rPr>
              <w:t>其他日常工作。</w:t>
            </w:r>
          </w:p>
        </w:tc>
        <w:tc>
          <w:tcPr>
            <w:tcW w:w="2973" w:type="dxa"/>
          </w:tcPr>
          <w:p>
            <w:pPr>
              <w:pStyle w:val="19"/>
              <w:spacing w:before="61" w:line="228" w:lineRule="auto"/>
              <w:ind w:left="111"/>
              <w:rPr>
                <w:lang w:eastAsia="zh-CN"/>
              </w:rPr>
            </w:pPr>
            <w:r>
              <w:rPr>
                <w:rFonts w:hint="eastAsia" w:ascii="宋体" w:hAnsi="宋体" w:eastAsia="宋体" w:cs="宋体"/>
                <w:spacing w:val="9"/>
                <w:lang w:eastAsia="zh-CN"/>
              </w:rPr>
              <w:t>保障困难群众获得应有的救</w:t>
            </w:r>
          </w:p>
          <w:p>
            <w:pPr>
              <w:pStyle w:val="19"/>
              <w:spacing w:before="52" w:line="246" w:lineRule="auto"/>
              <w:ind w:left="111" w:right="131" w:hanging="1"/>
              <w:rPr>
                <w:lang w:eastAsia="zh-CN"/>
              </w:rPr>
            </w:pPr>
            <w:r>
              <w:rPr>
                <w:rFonts w:hint="eastAsia" w:ascii="宋体" w:hAnsi="宋体" w:eastAsia="宋体" w:cs="宋体"/>
                <w:spacing w:val="9"/>
                <w:lang w:eastAsia="zh-CN"/>
              </w:rPr>
              <w:t>助，缓解意外事件对特殊困难</w:t>
            </w:r>
            <w:r>
              <w:rPr>
                <w:spacing w:val="2"/>
                <w:lang w:eastAsia="zh-CN"/>
              </w:rPr>
              <w:t xml:space="preserve"> </w:t>
            </w:r>
            <w:r>
              <w:rPr>
                <w:rFonts w:hint="eastAsia" w:ascii="宋体" w:hAnsi="宋体" w:eastAsia="宋体" w:cs="宋体"/>
                <w:spacing w:val="7"/>
                <w:lang w:eastAsia="zh-CN"/>
              </w:rPr>
              <w:t>家庭造成的生活困难。</w:t>
            </w:r>
          </w:p>
        </w:tc>
        <w:tc>
          <w:tcPr>
            <w:tcW w:w="661" w:type="dxa"/>
          </w:tcPr>
          <w:p>
            <w:pPr>
              <w:pStyle w:val="19"/>
              <w:spacing w:before="62" w:line="256"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37"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pStyle w:val="19"/>
              <w:spacing w:before="211" w:line="253" w:lineRule="auto"/>
              <w:ind w:left="117" w:right="221" w:hanging="2"/>
            </w:pPr>
            <w:r>
              <w:rPr>
                <w:rFonts w:hint="eastAsia" w:ascii="宋体" w:hAnsi="宋体" w:eastAsia="宋体" w:cs="宋体"/>
                <w:b/>
                <w:bCs/>
                <w:spacing w:val="6"/>
              </w:rPr>
              <w:t>文化事务</w:t>
            </w:r>
            <w:r>
              <w:t xml:space="preserve"> </w:t>
            </w:r>
            <w:r>
              <w:rPr>
                <w:rFonts w:hint="eastAsia" w:ascii="宋体" w:hAnsi="宋体" w:eastAsia="宋体" w:cs="宋体"/>
                <w:b/>
                <w:bCs/>
                <w:spacing w:val="1"/>
              </w:rPr>
              <w:t>管理</w:t>
            </w:r>
          </w:p>
        </w:tc>
        <w:tc>
          <w:tcPr>
            <w:tcW w:w="4161" w:type="dxa"/>
          </w:tcPr>
          <w:p>
            <w:pPr>
              <w:pStyle w:val="19"/>
              <w:spacing w:before="62" w:line="256" w:lineRule="auto"/>
              <w:ind w:left="110" w:right="105"/>
              <w:jc w:val="both"/>
            </w:pPr>
            <w:r>
              <w:rPr>
                <w:rFonts w:hint="eastAsia" w:ascii="宋体" w:hAnsi="宋体" w:eastAsia="宋体" w:cs="宋体"/>
                <w:spacing w:val="7"/>
                <w:lang w:eastAsia="zh-CN"/>
              </w:rPr>
              <w:t>宣传党的路线、方针、政策；完成农家书屋</w:t>
            </w:r>
            <w:r>
              <w:rPr>
                <w:lang w:eastAsia="zh-CN"/>
              </w:rPr>
              <w:t xml:space="preserve"> </w:t>
            </w:r>
            <w:r>
              <w:rPr>
                <w:rFonts w:hint="eastAsia" w:ascii="宋体" w:hAnsi="宋体" w:eastAsia="宋体" w:cs="宋体"/>
                <w:spacing w:val="7"/>
                <w:lang w:eastAsia="zh-CN"/>
              </w:rPr>
              <w:t>建设、全民阅读活动等其他工作。</w:t>
            </w:r>
            <w:r>
              <w:rPr>
                <w:rFonts w:hint="eastAsia" w:ascii="宋体" w:hAnsi="宋体" w:eastAsia="宋体" w:cs="宋体"/>
                <w:spacing w:val="7"/>
              </w:rPr>
              <w:t>其他日常</w:t>
            </w:r>
            <w:r>
              <w:rPr>
                <w:spacing w:val="1"/>
              </w:rPr>
              <w:t xml:space="preserve"> </w:t>
            </w:r>
            <w:r>
              <w:rPr>
                <w:rFonts w:hint="eastAsia" w:ascii="宋体" w:hAnsi="宋体" w:eastAsia="宋体" w:cs="宋体"/>
                <w:spacing w:val="2"/>
              </w:rPr>
              <w:t>工作。</w:t>
            </w:r>
          </w:p>
        </w:tc>
        <w:tc>
          <w:tcPr>
            <w:tcW w:w="2973" w:type="dxa"/>
          </w:tcPr>
          <w:p>
            <w:pPr>
              <w:pStyle w:val="19"/>
              <w:spacing w:before="62" w:line="256" w:lineRule="auto"/>
              <w:ind w:left="109" w:right="131" w:firstLine="4"/>
              <w:jc w:val="both"/>
              <w:rPr>
                <w:lang w:eastAsia="zh-CN"/>
              </w:rPr>
            </w:pPr>
            <w:r>
              <w:rPr>
                <w:rFonts w:hint="eastAsia" w:ascii="宋体" w:hAnsi="宋体" w:eastAsia="宋体" w:cs="宋体"/>
                <w:spacing w:val="9"/>
                <w:lang w:eastAsia="zh-CN"/>
              </w:rPr>
              <w:t>坚持正确舆论导向发挥主流媒体作用，推动全乡文化工作健</w:t>
            </w:r>
            <w:r>
              <w:rPr>
                <w:spacing w:val="3"/>
                <w:lang w:eastAsia="zh-CN"/>
              </w:rPr>
              <w:t xml:space="preserve"> </w:t>
            </w:r>
            <w:r>
              <w:rPr>
                <w:rFonts w:hint="eastAsia" w:ascii="宋体" w:hAnsi="宋体" w:eastAsia="宋体" w:cs="宋体"/>
                <w:spacing w:val="7"/>
                <w:lang w:eastAsia="zh-CN"/>
              </w:rPr>
              <w:t>康发展</w:t>
            </w:r>
          </w:p>
        </w:tc>
        <w:tc>
          <w:tcPr>
            <w:tcW w:w="661" w:type="dxa"/>
          </w:tcPr>
          <w:p>
            <w:pPr>
              <w:pStyle w:val="19"/>
              <w:spacing w:before="62" w:line="256"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37"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pStyle w:val="19"/>
              <w:spacing w:before="212" w:line="253" w:lineRule="auto"/>
              <w:ind w:left="118" w:right="221" w:firstLine="8"/>
            </w:pPr>
            <w:r>
              <w:rPr>
                <w:rFonts w:hint="eastAsia" w:ascii="宋体" w:hAnsi="宋体" w:eastAsia="宋体" w:cs="宋体"/>
                <w:b/>
                <w:bCs/>
                <w:spacing w:val="3"/>
              </w:rPr>
              <w:t>防火事务</w:t>
            </w:r>
            <w:r>
              <w:t xml:space="preserve"> </w:t>
            </w:r>
            <w:r>
              <w:rPr>
                <w:rFonts w:hint="eastAsia" w:ascii="宋体" w:hAnsi="宋体" w:eastAsia="宋体" w:cs="宋体"/>
                <w:b/>
                <w:bCs/>
                <w:spacing w:val="1"/>
              </w:rPr>
              <w:t>管理</w:t>
            </w:r>
          </w:p>
        </w:tc>
        <w:tc>
          <w:tcPr>
            <w:tcW w:w="4161" w:type="dxa"/>
          </w:tcPr>
          <w:p>
            <w:pPr>
              <w:spacing w:line="297" w:lineRule="auto"/>
              <w:rPr>
                <w:snapToGrid w:val="0"/>
                <w:color w:val="000000"/>
                <w:lang w:eastAsia="en-US"/>
              </w:rPr>
            </w:pPr>
          </w:p>
          <w:p>
            <w:pPr>
              <w:pStyle w:val="19"/>
              <w:spacing w:before="65" w:line="228" w:lineRule="auto"/>
              <w:ind w:left="120"/>
            </w:pPr>
            <w:r>
              <w:rPr>
                <w:rFonts w:hint="eastAsia" w:ascii="宋体" w:hAnsi="宋体" w:eastAsia="宋体" w:cs="宋体"/>
                <w:spacing w:val="-2"/>
              </w:rPr>
              <w:t>防火</w:t>
            </w:r>
          </w:p>
        </w:tc>
        <w:tc>
          <w:tcPr>
            <w:tcW w:w="2973" w:type="dxa"/>
          </w:tcPr>
          <w:p>
            <w:pPr>
              <w:rPr>
                <w:snapToGrid w:val="0"/>
                <w:color w:val="000000"/>
                <w:lang w:eastAsia="en-US"/>
              </w:rPr>
            </w:pPr>
          </w:p>
          <w:p>
            <w:pPr>
              <w:rPr>
                <w:snapToGrid w:val="0"/>
                <w:color w:val="000000"/>
                <w:lang w:eastAsia="en-US"/>
              </w:rPr>
            </w:pPr>
          </w:p>
          <w:p>
            <w:pPr>
              <w:jc w:val="center"/>
              <w:rPr>
                <w:snapToGrid w:val="0"/>
                <w:color w:val="000000"/>
                <w:lang w:eastAsia="en-US"/>
              </w:rPr>
            </w:pPr>
            <w:r>
              <w:rPr>
                <w:rFonts w:hint="eastAsia" w:ascii="宋体" w:hAnsi="宋体" w:eastAsia="宋体" w:cs="宋体"/>
                <w:snapToGrid w:val="0"/>
                <w:color w:val="000000"/>
                <w:spacing w:val="8"/>
                <w:lang w:eastAsia="en-US"/>
              </w:rPr>
              <w:t>按要求完成各项工作</w:t>
            </w:r>
          </w:p>
        </w:tc>
        <w:tc>
          <w:tcPr>
            <w:tcW w:w="661" w:type="dxa"/>
          </w:tcPr>
          <w:p>
            <w:pPr>
              <w:pStyle w:val="19"/>
              <w:spacing w:before="65" w:line="255"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40" w:lineRule="auto"/>
              <w:rPr>
                <w:snapToGrid w:val="0"/>
                <w:color w:val="000000"/>
                <w:lang w:eastAsia="en-US"/>
              </w:rPr>
            </w:pPr>
          </w:p>
          <w:p>
            <w:pPr>
              <w:spacing w:before="57" w:line="195" w:lineRule="auto"/>
              <w:ind w:left="326"/>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spacing w:line="297" w:lineRule="auto"/>
              <w:rPr>
                <w:snapToGrid w:val="0"/>
                <w:color w:val="000000"/>
                <w:lang w:eastAsia="en-US"/>
              </w:rPr>
            </w:pPr>
          </w:p>
          <w:p>
            <w:pPr>
              <w:pStyle w:val="19"/>
              <w:spacing w:before="65" w:line="229" w:lineRule="auto"/>
              <w:ind w:left="117"/>
            </w:pPr>
            <w:r>
              <w:rPr>
                <w:rFonts w:hint="eastAsia" w:ascii="宋体" w:hAnsi="宋体" w:eastAsia="宋体" w:cs="宋体"/>
                <w:b/>
                <w:bCs/>
                <w:spacing w:val="5"/>
              </w:rPr>
              <w:t>一事一议</w:t>
            </w:r>
          </w:p>
        </w:tc>
        <w:tc>
          <w:tcPr>
            <w:tcW w:w="4161" w:type="dxa"/>
          </w:tcPr>
          <w:p>
            <w:pPr>
              <w:spacing w:line="297" w:lineRule="auto"/>
              <w:jc w:val="both"/>
              <w:rPr>
                <w:snapToGrid w:val="0"/>
                <w:color w:val="000000"/>
                <w:lang w:eastAsia="en-US"/>
              </w:rPr>
            </w:pPr>
          </w:p>
          <w:p>
            <w:pPr>
              <w:pStyle w:val="19"/>
              <w:spacing w:before="65" w:line="229" w:lineRule="auto"/>
              <w:ind w:left="110"/>
              <w:jc w:val="both"/>
            </w:pPr>
            <w:r>
              <w:rPr>
                <w:rFonts w:hint="eastAsia" w:ascii="宋体" w:hAnsi="宋体" w:eastAsia="宋体" w:cs="宋体"/>
                <w:spacing w:val="6"/>
              </w:rPr>
              <w:t>一事一议</w:t>
            </w:r>
          </w:p>
        </w:tc>
        <w:tc>
          <w:tcPr>
            <w:tcW w:w="2973" w:type="dxa"/>
          </w:tcPr>
          <w:p>
            <w:pPr>
              <w:jc w:val="both"/>
              <w:rPr>
                <w:snapToGrid w:val="0"/>
                <w:color w:val="000000"/>
                <w:lang w:eastAsia="en-US"/>
              </w:rPr>
            </w:pPr>
            <w:r>
              <w:rPr>
                <w:rFonts w:hint="eastAsia" w:ascii="宋体" w:hAnsi="宋体" w:eastAsia="宋体" w:cs="宋体"/>
                <w:snapToGrid w:val="0"/>
                <w:color w:val="000000"/>
                <w:spacing w:val="8"/>
                <w:lang w:eastAsia="en-US"/>
              </w:rPr>
              <w:t>按要求完成各项工作</w:t>
            </w:r>
          </w:p>
        </w:tc>
        <w:tc>
          <w:tcPr>
            <w:tcW w:w="661" w:type="dxa"/>
          </w:tcPr>
          <w:p>
            <w:pPr>
              <w:pStyle w:val="19"/>
              <w:spacing w:before="65" w:line="255"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40" w:lineRule="auto"/>
              <w:rPr>
                <w:snapToGrid w:val="0"/>
                <w:color w:val="000000"/>
                <w:lang w:eastAsia="en-US"/>
              </w:rPr>
            </w:pPr>
          </w:p>
          <w:p>
            <w:pPr>
              <w:spacing w:before="58" w:line="195" w:lineRule="auto"/>
              <w:ind w:left="326"/>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180" w:type="dxa"/>
          </w:tcPr>
          <w:p>
            <w:pPr>
              <w:spacing w:line="448" w:lineRule="auto"/>
              <w:rPr>
                <w:snapToGrid w:val="0"/>
                <w:color w:val="000000"/>
                <w:lang w:eastAsia="en-US"/>
              </w:rPr>
            </w:pPr>
          </w:p>
          <w:p>
            <w:pPr>
              <w:pStyle w:val="19"/>
              <w:spacing w:before="65" w:line="253" w:lineRule="auto"/>
              <w:ind w:left="379" w:right="166" w:hanging="210"/>
            </w:pPr>
            <w:r>
              <w:rPr>
                <w:rFonts w:hint="eastAsia" w:ascii="宋体" w:hAnsi="宋体" w:eastAsia="宋体" w:cs="宋体"/>
                <w:b/>
                <w:bCs/>
                <w:spacing w:val="6"/>
              </w:rPr>
              <w:t>党委行政</w:t>
            </w:r>
            <w:r>
              <w:t xml:space="preserve"> </w:t>
            </w:r>
            <w:r>
              <w:rPr>
                <w:rFonts w:hint="eastAsia" w:ascii="宋体" w:hAnsi="宋体" w:eastAsia="宋体" w:cs="宋体"/>
                <w:b/>
                <w:bCs/>
                <w:spacing w:val="3"/>
              </w:rPr>
              <w:t>运行</w:t>
            </w:r>
          </w:p>
        </w:tc>
        <w:tc>
          <w:tcPr>
            <w:tcW w:w="4161" w:type="dxa"/>
          </w:tcPr>
          <w:p>
            <w:pPr>
              <w:spacing w:line="296" w:lineRule="auto"/>
              <w:rPr>
                <w:snapToGrid w:val="0"/>
                <w:color w:val="000000"/>
                <w:lang w:eastAsia="zh-CN"/>
              </w:rPr>
            </w:pPr>
          </w:p>
          <w:p>
            <w:pPr>
              <w:pStyle w:val="19"/>
              <w:spacing w:before="65" w:line="261" w:lineRule="auto"/>
              <w:ind w:left="106" w:right="103" w:firstLine="4"/>
              <w:jc w:val="both"/>
              <w:rPr>
                <w:lang w:eastAsia="zh-CN"/>
              </w:rPr>
            </w:pPr>
            <w:r>
              <w:rPr>
                <w:rFonts w:hint="eastAsia" w:ascii="宋体" w:hAnsi="宋体" w:eastAsia="宋体" w:cs="宋体"/>
                <w:spacing w:val="7"/>
                <w:lang w:eastAsia="zh-CN"/>
              </w:rPr>
              <w:t>宣传和贯彻执行党的路线、方针、政策，加</w:t>
            </w:r>
            <w:r>
              <w:rPr>
                <w:spacing w:val="2"/>
                <w:lang w:eastAsia="zh-CN"/>
              </w:rPr>
              <w:t xml:space="preserve"> </w:t>
            </w:r>
            <w:r>
              <w:rPr>
                <w:rFonts w:hint="eastAsia" w:ascii="宋体" w:hAnsi="宋体" w:eastAsia="宋体" w:cs="宋体"/>
                <w:spacing w:val="7"/>
                <w:lang w:eastAsia="zh-CN"/>
              </w:rPr>
              <w:t>强镇党委自身建设和村级党组织建设，按照</w:t>
            </w:r>
            <w:r>
              <w:rPr>
                <w:spacing w:val="4"/>
                <w:lang w:eastAsia="zh-CN"/>
              </w:rPr>
              <w:t xml:space="preserve"> </w:t>
            </w:r>
            <w:r>
              <w:rPr>
                <w:rFonts w:hint="eastAsia" w:ascii="宋体" w:hAnsi="宋体" w:eastAsia="宋体" w:cs="宋体"/>
                <w:spacing w:val="9"/>
                <w:lang w:eastAsia="zh-CN"/>
              </w:rPr>
              <w:t>干部管理权限，负责对本</w:t>
            </w:r>
          </w:p>
        </w:tc>
        <w:tc>
          <w:tcPr>
            <w:tcW w:w="2973" w:type="dxa"/>
          </w:tcPr>
          <w:p>
            <w:pPr>
              <w:pStyle w:val="19"/>
              <w:spacing w:before="64" w:line="264" w:lineRule="auto"/>
              <w:ind w:left="109" w:right="131" w:firstLine="1"/>
              <w:jc w:val="both"/>
              <w:rPr>
                <w:lang w:eastAsia="zh-CN"/>
              </w:rPr>
            </w:pPr>
            <w:r>
              <w:rPr>
                <w:rFonts w:hint="eastAsia" w:ascii="宋体" w:hAnsi="宋体" w:eastAsia="宋体" w:cs="宋体"/>
                <w:spacing w:val="9"/>
                <w:lang w:eastAsia="zh-CN"/>
              </w:rPr>
              <w:t>保障镇党委各类会议、重大活</w:t>
            </w:r>
            <w:r>
              <w:rPr>
                <w:spacing w:val="1"/>
                <w:lang w:eastAsia="zh-CN"/>
              </w:rPr>
              <w:t xml:space="preserve"> </w:t>
            </w:r>
            <w:r>
              <w:rPr>
                <w:rFonts w:hint="eastAsia" w:ascii="宋体" w:hAnsi="宋体" w:eastAsia="宋体" w:cs="宋体"/>
                <w:spacing w:val="9"/>
                <w:lang w:eastAsia="zh-CN"/>
              </w:rPr>
              <w:t>动的正常、顺利举办；保障机</w:t>
            </w:r>
            <w:r>
              <w:rPr>
                <w:spacing w:val="3"/>
                <w:lang w:eastAsia="zh-CN"/>
              </w:rPr>
              <w:t xml:space="preserve"> </w:t>
            </w:r>
            <w:r>
              <w:rPr>
                <w:rFonts w:hint="eastAsia" w:ascii="宋体" w:hAnsi="宋体" w:eastAsia="宋体" w:cs="宋体"/>
                <w:spacing w:val="9"/>
                <w:lang w:eastAsia="zh-CN"/>
              </w:rPr>
              <w:t>关公文正常运转，完善基层组</w:t>
            </w:r>
            <w:r>
              <w:rPr>
                <w:spacing w:val="3"/>
                <w:lang w:eastAsia="zh-CN"/>
              </w:rPr>
              <w:t xml:space="preserve"> </w:t>
            </w:r>
            <w:r>
              <w:rPr>
                <w:rFonts w:hint="eastAsia" w:ascii="宋体" w:hAnsi="宋体" w:eastAsia="宋体" w:cs="宋体"/>
                <w:spacing w:val="9"/>
                <w:lang w:eastAsia="zh-CN"/>
              </w:rPr>
              <w:t>织建设，高质量完成年度各项</w:t>
            </w:r>
            <w:r>
              <w:rPr>
                <w:spacing w:val="3"/>
                <w:lang w:eastAsia="zh-CN"/>
              </w:rPr>
              <w:t xml:space="preserve"> </w:t>
            </w:r>
            <w:r>
              <w:rPr>
                <w:rFonts w:hint="eastAsia" w:ascii="宋体" w:hAnsi="宋体" w:eastAsia="宋体" w:cs="宋体"/>
                <w:spacing w:val="7"/>
                <w:lang w:eastAsia="zh-CN"/>
              </w:rPr>
              <w:t>政务管理工作任务。</w:t>
            </w:r>
          </w:p>
        </w:tc>
        <w:tc>
          <w:tcPr>
            <w:tcW w:w="661" w:type="dxa"/>
          </w:tcPr>
          <w:p>
            <w:pPr>
              <w:spacing w:line="297" w:lineRule="auto"/>
              <w:rPr>
                <w:snapToGrid w:val="0"/>
                <w:color w:val="000000"/>
                <w:lang w:eastAsia="zh-CN"/>
              </w:rPr>
            </w:pPr>
          </w:p>
          <w:p>
            <w:pPr>
              <w:pStyle w:val="19"/>
              <w:spacing w:before="6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19" w:lineRule="auto"/>
              <w:rPr>
                <w:snapToGrid w:val="0"/>
                <w:color w:val="000000"/>
                <w:lang w:eastAsia="en-US"/>
              </w:rPr>
            </w:pPr>
          </w:p>
          <w:p>
            <w:pPr>
              <w:spacing w:line="320"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297" w:lineRule="auto"/>
              <w:rPr>
                <w:snapToGrid w:val="0"/>
                <w:color w:val="000000"/>
                <w:lang w:eastAsia="en-US"/>
              </w:rPr>
            </w:pPr>
          </w:p>
          <w:p>
            <w:pPr>
              <w:pStyle w:val="19"/>
              <w:spacing w:before="65" w:line="253" w:lineRule="auto"/>
              <w:ind w:left="114" w:right="221"/>
            </w:pPr>
            <w:r>
              <w:rPr>
                <w:rFonts w:hint="eastAsia" w:ascii="宋体" w:hAnsi="宋体" w:eastAsia="宋体" w:cs="宋体"/>
                <w:b/>
                <w:bCs/>
                <w:spacing w:val="6"/>
              </w:rPr>
              <w:t>党委办事</w:t>
            </w:r>
            <w:r>
              <w:t xml:space="preserve"> </w:t>
            </w:r>
            <w:r>
              <w:rPr>
                <w:rFonts w:hint="eastAsia" w:ascii="宋体" w:hAnsi="宋体" w:eastAsia="宋体" w:cs="宋体"/>
                <w:b/>
                <w:bCs/>
                <w:spacing w:val="5"/>
              </w:rPr>
              <w:t>务管理</w:t>
            </w:r>
          </w:p>
        </w:tc>
        <w:tc>
          <w:tcPr>
            <w:tcW w:w="4161" w:type="dxa"/>
          </w:tcPr>
          <w:p>
            <w:pPr>
              <w:pStyle w:val="19"/>
              <w:spacing w:before="67" w:line="260" w:lineRule="auto"/>
              <w:ind w:left="107" w:right="103"/>
              <w:jc w:val="both"/>
              <w:rPr>
                <w:lang w:eastAsia="zh-CN"/>
              </w:rPr>
            </w:pPr>
            <w:r>
              <w:rPr>
                <w:rFonts w:hint="eastAsia" w:ascii="宋体" w:hAnsi="宋体" w:eastAsia="宋体" w:cs="宋体"/>
                <w:spacing w:val="7"/>
                <w:lang w:eastAsia="zh-CN"/>
              </w:rPr>
              <w:t>承担乡领导交办的文件、讲话稿的起草或修</w:t>
            </w:r>
            <w:r>
              <w:rPr>
                <w:spacing w:val="3"/>
                <w:lang w:eastAsia="zh-CN"/>
              </w:rPr>
              <w:t xml:space="preserve"> </w:t>
            </w:r>
            <w:r>
              <w:rPr>
                <w:rFonts w:hint="eastAsia" w:ascii="宋体" w:hAnsi="宋体" w:eastAsia="宋体" w:cs="宋体"/>
                <w:spacing w:val="7"/>
                <w:lang w:eastAsia="zh-CN"/>
              </w:rPr>
              <w:t>改工作；党委各种会议的会务工作，对党委</w:t>
            </w:r>
            <w:r>
              <w:rPr>
                <w:spacing w:val="6"/>
                <w:lang w:eastAsia="zh-CN"/>
              </w:rPr>
              <w:t xml:space="preserve"> </w:t>
            </w:r>
            <w:r>
              <w:rPr>
                <w:rFonts w:hint="eastAsia" w:ascii="宋体" w:hAnsi="宋体" w:eastAsia="宋体" w:cs="宋体"/>
                <w:spacing w:val="7"/>
                <w:lang w:eastAsia="zh-CN"/>
              </w:rPr>
              <w:t>系统信息工作的组织、协调和指导；信息发</w:t>
            </w:r>
            <w:r>
              <w:rPr>
                <w:spacing w:val="6"/>
                <w:lang w:eastAsia="zh-CN"/>
              </w:rPr>
              <w:t xml:space="preserve"> </w:t>
            </w:r>
            <w:r>
              <w:rPr>
                <w:rFonts w:hint="eastAsia" w:ascii="宋体" w:hAnsi="宋体" w:eastAsia="宋体" w:cs="宋体"/>
                <w:spacing w:val="7"/>
                <w:lang w:eastAsia="zh-CN"/>
              </w:rPr>
              <w:t>布和联络</w:t>
            </w:r>
          </w:p>
        </w:tc>
        <w:tc>
          <w:tcPr>
            <w:tcW w:w="2973" w:type="dxa"/>
          </w:tcPr>
          <w:p>
            <w:pPr>
              <w:spacing w:line="299" w:lineRule="auto"/>
              <w:rPr>
                <w:snapToGrid w:val="0"/>
                <w:color w:val="000000"/>
                <w:lang w:eastAsia="zh-CN"/>
              </w:rPr>
            </w:pPr>
          </w:p>
          <w:p>
            <w:pPr>
              <w:pStyle w:val="19"/>
              <w:spacing w:before="65" w:line="252" w:lineRule="auto"/>
              <w:ind w:left="111" w:right="131" w:firstLine="4"/>
              <w:rPr>
                <w:lang w:eastAsia="zh-CN"/>
              </w:rPr>
            </w:pPr>
            <w:r>
              <w:rPr>
                <w:rFonts w:hint="eastAsia" w:ascii="宋体" w:hAnsi="宋体" w:eastAsia="宋体" w:cs="宋体"/>
                <w:spacing w:val="8"/>
                <w:lang w:eastAsia="zh-CN"/>
              </w:rPr>
              <w:t>效率高，无差错，信息真实完</w:t>
            </w:r>
            <w:r>
              <w:rPr>
                <w:spacing w:val="10"/>
                <w:lang w:eastAsia="zh-CN"/>
              </w:rPr>
              <w:t xml:space="preserve"> </w:t>
            </w:r>
            <w:r>
              <w:rPr>
                <w:rFonts w:hint="eastAsia" w:ascii="宋体" w:hAnsi="宋体" w:eastAsia="宋体" w:cs="宋体"/>
                <w:spacing w:val="8"/>
                <w:lang w:eastAsia="zh-CN"/>
              </w:rPr>
              <w:t>整，党员管理机制完善</w:t>
            </w:r>
          </w:p>
        </w:tc>
        <w:tc>
          <w:tcPr>
            <w:tcW w:w="661" w:type="dxa"/>
          </w:tcPr>
          <w:p>
            <w:pPr>
              <w:pStyle w:val="19"/>
              <w:spacing w:before="21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5" w:lineRule="auto"/>
              <w:rPr>
                <w:snapToGrid w:val="0"/>
                <w:color w:val="000000"/>
                <w:lang w:eastAsia="en-US"/>
              </w:rPr>
            </w:pPr>
          </w:p>
          <w:p>
            <w:pPr>
              <w:spacing w:line="246"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300" w:lineRule="auto"/>
              <w:rPr>
                <w:snapToGrid w:val="0"/>
                <w:color w:val="000000"/>
                <w:lang w:eastAsia="en-US"/>
              </w:rPr>
            </w:pPr>
          </w:p>
          <w:p>
            <w:pPr>
              <w:pStyle w:val="19"/>
              <w:spacing w:before="65" w:line="253" w:lineRule="auto"/>
              <w:ind w:left="117" w:right="221" w:hanging="2"/>
            </w:pPr>
            <w:r>
              <w:rPr>
                <w:rFonts w:hint="eastAsia" w:ascii="宋体" w:hAnsi="宋体" w:eastAsia="宋体" w:cs="宋体"/>
                <w:b/>
                <w:bCs/>
                <w:spacing w:val="6"/>
              </w:rPr>
              <w:t>人大事务</w:t>
            </w:r>
            <w:r>
              <w:t xml:space="preserve"> </w:t>
            </w:r>
            <w:r>
              <w:rPr>
                <w:rFonts w:hint="eastAsia" w:ascii="宋体" w:hAnsi="宋体" w:eastAsia="宋体" w:cs="宋体"/>
                <w:b/>
                <w:bCs/>
                <w:spacing w:val="1"/>
              </w:rPr>
              <w:t>管理</w:t>
            </w:r>
          </w:p>
        </w:tc>
        <w:tc>
          <w:tcPr>
            <w:tcW w:w="4161" w:type="dxa"/>
          </w:tcPr>
          <w:p>
            <w:pPr>
              <w:pStyle w:val="19"/>
              <w:spacing w:before="67" w:line="260" w:lineRule="auto"/>
              <w:ind w:left="106" w:right="103"/>
              <w:jc w:val="both"/>
              <w:rPr>
                <w:lang w:eastAsia="zh-CN"/>
              </w:rPr>
            </w:pPr>
            <w:r>
              <w:rPr>
                <w:rFonts w:hint="eastAsia" w:ascii="宋体" w:hAnsi="宋体" w:eastAsia="宋体" w:cs="宋体"/>
                <w:spacing w:val="7"/>
                <w:lang w:eastAsia="zh-CN"/>
              </w:rPr>
              <w:t>认真执行宪法、法律、行政法规和上级人民</w:t>
            </w:r>
            <w:r>
              <w:rPr>
                <w:spacing w:val="6"/>
                <w:lang w:eastAsia="zh-CN"/>
              </w:rPr>
              <w:t xml:space="preserve"> </w:t>
            </w:r>
            <w:r>
              <w:rPr>
                <w:rFonts w:hint="eastAsia" w:ascii="宋体" w:hAnsi="宋体" w:eastAsia="宋体" w:cs="宋体"/>
                <w:spacing w:val="7"/>
                <w:lang w:eastAsia="zh-CN"/>
              </w:rPr>
              <w:t>代表大会及其常务委员会决议；领导主持本</w:t>
            </w:r>
            <w:r>
              <w:rPr>
                <w:spacing w:val="6"/>
                <w:lang w:eastAsia="zh-CN"/>
              </w:rPr>
              <w:t xml:space="preserve"> </w:t>
            </w:r>
            <w:r>
              <w:rPr>
                <w:rFonts w:hint="eastAsia" w:ascii="宋体" w:hAnsi="宋体" w:eastAsia="宋体" w:cs="宋体"/>
                <w:spacing w:val="7"/>
                <w:lang w:eastAsia="zh-CN"/>
              </w:rPr>
              <w:t>级人民代表大会代表的选举；召集本级人民</w:t>
            </w:r>
            <w:r>
              <w:rPr>
                <w:spacing w:val="4"/>
                <w:lang w:eastAsia="zh-CN"/>
              </w:rPr>
              <w:t xml:space="preserve"> </w:t>
            </w:r>
            <w:r>
              <w:rPr>
                <w:rFonts w:hint="eastAsia" w:ascii="宋体" w:hAnsi="宋体" w:eastAsia="宋体" w:cs="宋体"/>
                <w:spacing w:val="8"/>
                <w:lang w:eastAsia="zh-CN"/>
              </w:rPr>
              <w:t>代表大会会议</w:t>
            </w:r>
          </w:p>
        </w:tc>
        <w:tc>
          <w:tcPr>
            <w:tcW w:w="2973" w:type="dxa"/>
          </w:tcPr>
          <w:p>
            <w:pPr>
              <w:spacing w:line="301" w:lineRule="auto"/>
              <w:rPr>
                <w:snapToGrid w:val="0"/>
                <w:color w:val="000000"/>
                <w:lang w:eastAsia="zh-CN"/>
              </w:rPr>
            </w:pPr>
          </w:p>
          <w:p>
            <w:pPr>
              <w:pStyle w:val="19"/>
              <w:spacing w:before="65" w:line="253" w:lineRule="auto"/>
              <w:ind w:left="111" w:right="131"/>
              <w:rPr>
                <w:lang w:eastAsia="zh-CN"/>
              </w:rPr>
            </w:pPr>
            <w:r>
              <w:rPr>
                <w:rFonts w:hint="eastAsia" w:ascii="宋体" w:hAnsi="宋体" w:eastAsia="宋体" w:cs="宋体"/>
                <w:spacing w:val="9"/>
                <w:lang w:eastAsia="zh-CN"/>
              </w:rPr>
              <w:t>保障会议顺利召开，完成会议</w:t>
            </w:r>
            <w:r>
              <w:rPr>
                <w:spacing w:val="1"/>
                <w:lang w:eastAsia="zh-CN"/>
              </w:rPr>
              <w:t xml:space="preserve"> </w:t>
            </w:r>
            <w:r>
              <w:rPr>
                <w:rFonts w:hint="eastAsia" w:ascii="宋体" w:hAnsi="宋体" w:eastAsia="宋体" w:cs="宋体"/>
                <w:spacing w:val="2"/>
                <w:lang w:eastAsia="zh-CN"/>
              </w:rPr>
              <w:t>议程。</w:t>
            </w:r>
          </w:p>
        </w:tc>
        <w:tc>
          <w:tcPr>
            <w:tcW w:w="661" w:type="dxa"/>
          </w:tcPr>
          <w:p>
            <w:pPr>
              <w:pStyle w:val="19"/>
              <w:spacing w:before="216"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6" w:lineRule="auto"/>
              <w:rPr>
                <w:snapToGrid w:val="0"/>
                <w:color w:val="000000"/>
                <w:lang w:eastAsia="en-US"/>
              </w:rPr>
            </w:pPr>
          </w:p>
          <w:p>
            <w:pPr>
              <w:spacing w:line="246"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180" w:type="dxa"/>
          </w:tcPr>
          <w:p>
            <w:pPr>
              <w:pStyle w:val="19"/>
              <w:spacing w:before="216" w:line="253" w:lineRule="auto"/>
              <w:ind w:left="117" w:right="221"/>
            </w:pPr>
            <w:r>
              <w:rPr>
                <w:rFonts w:hint="eastAsia" w:ascii="宋体" w:hAnsi="宋体" w:eastAsia="宋体" w:cs="宋体"/>
                <w:b/>
                <w:bCs/>
                <w:spacing w:val="5"/>
              </w:rPr>
              <w:t>宣传事务</w:t>
            </w:r>
            <w:r>
              <w:rPr>
                <w:spacing w:val="1"/>
              </w:rPr>
              <w:t xml:space="preserve"> </w:t>
            </w:r>
            <w:r>
              <w:rPr>
                <w:rFonts w:hint="eastAsia" w:ascii="宋体" w:hAnsi="宋体" w:eastAsia="宋体" w:cs="宋体"/>
                <w:b/>
                <w:bCs/>
                <w:spacing w:val="1"/>
              </w:rPr>
              <w:t>管理</w:t>
            </w:r>
          </w:p>
        </w:tc>
        <w:tc>
          <w:tcPr>
            <w:tcW w:w="4161" w:type="dxa"/>
          </w:tcPr>
          <w:p>
            <w:pPr>
              <w:pStyle w:val="19"/>
              <w:spacing w:before="67" w:line="256" w:lineRule="auto"/>
              <w:ind w:left="110" w:right="103" w:hanging="3"/>
              <w:jc w:val="both"/>
              <w:rPr>
                <w:lang w:eastAsia="zh-CN"/>
              </w:rPr>
            </w:pPr>
            <w:r>
              <w:rPr>
                <w:rFonts w:hint="eastAsia" w:ascii="宋体" w:hAnsi="宋体" w:eastAsia="宋体" w:cs="宋体"/>
                <w:spacing w:val="7"/>
                <w:lang w:eastAsia="zh-CN"/>
              </w:rPr>
              <w:t>加强基层党员教育，组织开展系列宣传教育</w:t>
            </w:r>
            <w:r>
              <w:rPr>
                <w:spacing w:val="3"/>
                <w:lang w:eastAsia="zh-CN"/>
              </w:rPr>
              <w:t xml:space="preserve"> </w:t>
            </w:r>
            <w:r>
              <w:rPr>
                <w:rFonts w:hint="eastAsia" w:ascii="宋体" w:hAnsi="宋体" w:eastAsia="宋体" w:cs="宋体"/>
                <w:spacing w:val="7"/>
                <w:lang w:eastAsia="zh-CN"/>
              </w:rPr>
              <w:t>活动。制订宣传工作发展计划，开展多种形</w:t>
            </w:r>
            <w:r>
              <w:rPr>
                <w:spacing w:val="2"/>
                <w:lang w:eastAsia="zh-CN"/>
              </w:rPr>
              <w:t xml:space="preserve"> </w:t>
            </w:r>
            <w:r>
              <w:rPr>
                <w:rFonts w:hint="eastAsia" w:ascii="宋体" w:hAnsi="宋体" w:eastAsia="宋体" w:cs="宋体"/>
                <w:spacing w:val="6"/>
                <w:lang w:eastAsia="zh-CN"/>
              </w:rPr>
              <w:t>式的文化</w:t>
            </w:r>
          </w:p>
        </w:tc>
        <w:tc>
          <w:tcPr>
            <w:tcW w:w="2973" w:type="dxa"/>
          </w:tcPr>
          <w:p>
            <w:pPr>
              <w:pStyle w:val="19"/>
              <w:spacing w:before="217" w:line="253" w:lineRule="auto"/>
              <w:ind w:left="113" w:right="181"/>
              <w:rPr>
                <w:lang w:eastAsia="zh-CN"/>
              </w:rPr>
            </w:pPr>
            <w:r>
              <w:rPr>
                <w:rFonts w:hint="eastAsia" w:ascii="宋体" w:hAnsi="宋体" w:eastAsia="宋体" w:cs="宋体"/>
                <w:spacing w:val="5"/>
                <w:lang w:eastAsia="zh-CN"/>
              </w:rPr>
              <w:t>组织开展主题宣传教育活动，</w:t>
            </w:r>
            <w:r>
              <w:rPr>
                <w:spacing w:val="2"/>
                <w:lang w:eastAsia="zh-CN"/>
              </w:rPr>
              <w:t xml:space="preserve"> </w:t>
            </w:r>
            <w:r>
              <w:rPr>
                <w:rFonts w:hint="eastAsia" w:ascii="宋体" w:hAnsi="宋体" w:eastAsia="宋体" w:cs="宋体"/>
                <w:spacing w:val="8"/>
                <w:lang w:eastAsia="zh-CN"/>
              </w:rPr>
              <w:t>组织系列文化活动</w:t>
            </w:r>
          </w:p>
        </w:tc>
        <w:tc>
          <w:tcPr>
            <w:tcW w:w="661" w:type="dxa"/>
          </w:tcPr>
          <w:p>
            <w:pPr>
              <w:pStyle w:val="19"/>
              <w:spacing w:before="67" w:line="256"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44"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bl>
    <w:p>
      <w:pPr>
        <w:sectPr>
          <w:pgSz w:w="11906" w:h="16839"/>
          <w:pgMar w:top="1431" w:right="1009" w:bottom="0" w:left="1009" w:header="0" w:footer="0" w:gutter="0"/>
          <w:cols w:space="720" w:num="1"/>
        </w:sectPr>
      </w:pPr>
    </w:p>
    <w:p>
      <w:pPr>
        <w:spacing w:before="63"/>
      </w:pPr>
    </w:p>
    <w:p>
      <w:pPr>
        <w:spacing w:before="63"/>
      </w:pPr>
    </w:p>
    <w:tbl>
      <w:tblPr>
        <w:tblStyle w:val="18"/>
        <w:tblW w:w="9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4161"/>
        <w:gridCol w:w="2973"/>
        <w:gridCol w:w="66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1" w:hRule="atLeast"/>
        </w:trPr>
        <w:tc>
          <w:tcPr>
            <w:tcW w:w="1180" w:type="dxa"/>
          </w:tcPr>
          <w:p>
            <w:pPr>
              <w:spacing w:line="297" w:lineRule="auto"/>
              <w:rPr>
                <w:snapToGrid w:val="0"/>
                <w:color w:val="000000"/>
                <w:lang w:eastAsia="en-US"/>
              </w:rPr>
            </w:pPr>
          </w:p>
          <w:p>
            <w:pPr>
              <w:pStyle w:val="19"/>
              <w:spacing w:before="65" w:line="253" w:lineRule="auto"/>
              <w:ind w:left="117" w:right="221" w:hanging="1"/>
            </w:pPr>
            <w:r>
              <w:rPr>
                <w:rFonts w:hint="eastAsia" w:ascii="宋体" w:hAnsi="宋体" w:eastAsia="宋体" w:cs="宋体"/>
                <w:b/>
                <w:bCs/>
                <w:spacing w:val="5"/>
              </w:rPr>
              <w:t>组织事务</w:t>
            </w:r>
            <w:r>
              <w:rPr>
                <w:spacing w:val="2"/>
              </w:rPr>
              <w:t xml:space="preserve"> </w:t>
            </w:r>
            <w:r>
              <w:rPr>
                <w:rFonts w:hint="eastAsia" w:ascii="宋体" w:hAnsi="宋体" w:eastAsia="宋体" w:cs="宋体"/>
                <w:b/>
                <w:bCs/>
                <w:spacing w:val="1"/>
              </w:rPr>
              <w:t>管理</w:t>
            </w:r>
          </w:p>
        </w:tc>
        <w:tc>
          <w:tcPr>
            <w:tcW w:w="4161" w:type="dxa"/>
          </w:tcPr>
          <w:p>
            <w:pPr>
              <w:pStyle w:val="19"/>
              <w:spacing w:before="65" w:line="262" w:lineRule="auto"/>
              <w:ind w:left="107" w:right="103" w:firstLine="8"/>
              <w:rPr>
                <w:lang w:eastAsia="zh-CN"/>
              </w:rPr>
            </w:pPr>
            <w:r>
              <w:rPr>
                <w:rFonts w:hint="eastAsia" w:ascii="宋体" w:hAnsi="宋体" w:eastAsia="宋体" w:cs="宋体"/>
                <w:spacing w:val="6"/>
                <w:lang w:eastAsia="zh-CN"/>
              </w:rPr>
              <w:t>负责全乡党组织建设；负责乡村两级党员干</w:t>
            </w:r>
            <w:r>
              <w:rPr>
                <w:spacing w:val="16"/>
                <w:lang w:eastAsia="zh-CN"/>
              </w:rPr>
              <w:t xml:space="preserve"> </w:t>
            </w:r>
            <w:r>
              <w:rPr>
                <w:rFonts w:hint="eastAsia" w:ascii="宋体" w:hAnsi="宋体" w:eastAsia="宋体" w:cs="宋体"/>
                <w:spacing w:val="7"/>
                <w:lang w:eastAsia="zh-CN"/>
              </w:rPr>
              <w:t>部队伍管理、培养选拔、教育培训、考核，</w:t>
            </w:r>
            <w:r>
              <w:rPr>
                <w:spacing w:val="6"/>
                <w:lang w:eastAsia="zh-CN"/>
              </w:rPr>
              <w:t xml:space="preserve"> </w:t>
            </w:r>
            <w:r>
              <w:rPr>
                <w:rFonts w:hint="eastAsia" w:ascii="宋体" w:hAnsi="宋体" w:eastAsia="宋体" w:cs="宋体"/>
                <w:spacing w:val="7"/>
                <w:lang w:eastAsia="zh-CN"/>
              </w:rPr>
              <w:t>做好党员发展、党员组织关系接转、收缴党</w:t>
            </w:r>
            <w:r>
              <w:rPr>
                <w:spacing w:val="6"/>
                <w:lang w:eastAsia="zh-CN"/>
              </w:rPr>
              <w:t xml:space="preserve"> </w:t>
            </w:r>
            <w:r>
              <w:rPr>
                <w:rFonts w:hint="eastAsia" w:ascii="宋体" w:hAnsi="宋体" w:eastAsia="宋体" w:cs="宋体"/>
                <w:spacing w:val="4"/>
                <w:lang w:eastAsia="zh-CN"/>
              </w:rPr>
              <w:t>费和</w:t>
            </w:r>
          </w:p>
        </w:tc>
        <w:tc>
          <w:tcPr>
            <w:tcW w:w="2973" w:type="dxa"/>
          </w:tcPr>
          <w:p>
            <w:pPr>
              <w:pStyle w:val="19"/>
              <w:spacing w:before="65" w:line="262" w:lineRule="auto"/>
              <w:ind w:left="110" w:right="131"/>
              <w:jc w:val="both"/>
              <w:rPr>
                <w:lang w:eastAsia="zh-CN"/>
              </w:rPr>
            </w:pPr>
            <w:r>
              <w:rPr>
                <w:rFonts w:hint="eastAsia" w:ascii="宋体" w:hAnsi="宋体" w:eastAsia="宋体" w:cs="宋体"/>
                <w:spacing w:val="9"/>
                <w:lang w:eastAsia="zh-CN"/>
              </w:rPr>
              <w:t>通过加强党组织建设和干部教</w:t>
            </w:r>
            <w:r>
              <w:rPr>
                <w:spacing w:val="2"/>
                <w:lang w:eastAsia="zh-CN"/>
              </w:rPr>
              <w:t xml:space="preserve"> </w:t>
            </w:r>
            <w:r>
              <w:rPr>
                <w:rFonts w:hint="eastAsia" w:ascii="宋体" w:hAnsi="宋体" w:eastAsia="宋体" w:cs="宋体"/>
                <w:spacing w:val="9"/>
                <w:lang w:eastAsia="zh-CN"/>
              </w:rPr>
              <w:t>育培训，不断优化干部队伍结</w:t>
            </w:r>
            <w:r>
              <w:rPr>
                <w:spacing w:val="1"/>
                <w:lang w:eastAsia="zh-CN"/>
              </w:rPr>
              <w:t xml:space="preserve"> </w:t>
            </w:r>
            <w:r>
              <w:rPr>
                <w:rFonts w:hint="eastAsia" w:ascii="宋体" w:hAnsi="宋体" w:eastAsia="宋体" w:cs="宋体"/>
                <w:spacing w:val="9"/>
                <w:lang w:eastAsia="zh-CN"/>
              </w:rPr>
              <w:t>构，逐步提高执政能力和干部</w:t>
            </w:r>
            <w:r>
              <w:rPr>
                <w:spacing w:val="1"/>
                <w:lang w:eastAsia="zh-CN"/>
              </w:rPr>
              <w:t xml:space="preserve"> </w:t>
            </w:r>
            <w:r>
              <w:rPr>
                <w:rFonts w:hint="eastAsia" w:ascii="宋体" w:hAnsi="宋体" w:eastAsia="宋体" w:cs="宋体"/>
                <w:spacing w:val="5"/>
                <w:lang w:eastAsia="zh-CN"/>
              </w:rPr>
              <w:t>整体素质。</w:t>
            </w:r>
          </w:p>
        </w:tc>
        <w:tc>
          <w:tcPr>
            <w:tcW w:w="661" w:type="dxa"/>
          </w:tcPr>
          <w:p>
            <w:pPr>
              <w:pStyle w:val="19"/>
              <w:spacing w:before="21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5" w:lineRule="auto"/>
              <w:rPr>
                <w:snapToGrid w:val="0"/>
                <w:color w:val="000000"/>
                <w:lang w:eastAsia="en-US"/>
              </w:rPr>
            </w:pPr>
          </w:p>
          <w:p>
            <w:pPr>
              <w:spacing w:line="246"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290" w:lineRule="auto"/>
              <w:rPr>
                <w:snapToGrid w:val="0"/>
                <w:color w:val="000000"/>
                <w:lang w:eastAsia="en-US"/>
              </w:rPr>
            </w:pPr>
          </w:p>
          <w:p>
            <w:pPr>
              <w:pStyle w:val="19"/>
              <w:spacing w:before="65" w:line="253" w:lineRule="auto"/>
              <w:ind w:left="117" w:right="221" w:hanging="4"/>
            </w:pPr>
            <w:r>
              <w:rPr>
                <w:rFonts w:hint="eastAsia" w:ascii="宋体" w:hAnsi="宋体" w:eastAsia="宋体" w:cs="宋体"/>
                <w:b/>
                <w:bCs/>
                <w:spacing w:val="6"/>
              </w:rPr>
              <w:t>群众团体</w:t>
            </w:r>
            <w:r>
              <w:rPr>
                <w:spacing w:val="1"/>
              </w:rPr>
              <w:t xml:space="preserve"> </w:t>
            </w:r>
            <w:r>
              <w:rPr>
                <w:rFonts w:hint="eastAsia" w:ascii="宋体" w:hAnsi="宋体" w:eastAsia="宋体" w:cs="宋体"/>
                <w:b/>
                <w:bCs/>
                <w:spacing w:val="1"/>
              </w:rPr>
              <w:t>管理</w:t>
            </w:r>
          </w:p>
        </w:tc>
        <w:tc>
          <w:tcPr>
            <w:tcW w:w="4161" w:type="dxa"/>
          </w:tcPr>
          <w:p>
            <w:pPr>
              <w:pStyle w:val="19"/>
              <w:spacing w:before="208" w:line="261" w:lineRule="auto"/>
              <w:ind w:left="109" w:right="103"/>
              <w:jc w:val="both"/>
              <w:rPr>
                <w:lang w:eastAsia="zh-CN"/>
              </w:rPr>
            </w:pPr>
            <w:r>
              <w:rPr>
                <w:rFonts w:hint="eastAsia" w:ascii="宋体" w:hAnsi="宋体" w:eastAsia="宋体" w:cs="宋体"/>
                <w:spacing w:val="7"/>
                <w:lang w:eastAsia="zh-CN"/>
              </w:rPr>
              <w:t>主持基层工会的日常工作；宣传妇女和妇联</w:t>
            </w:r>
            <w:r>
              <w:rPr>
                <w:spacing w:val="4"/>
                <w:lang w:eastAsia="zh-CN"/>
              </w:rPr>
              <w:t xml:space="preserve"> </w:t>
            </w:r>
            <w:r>
              <w:rPr>
                <w:rFonts w:hint="eastAsia" w:ascii="宋体" w:hAnsi="宋体" w:eastAsia="宋体" w:cs="宋体"/>
                <w:spacing w:val="7"/>
                <w:lang w:eastAsia="zh-CN"/>
              </w:rPr>
              <w:t>工作，帮助妇女拓宽就业渠道，普及有关妇</w:t>
            </w:r>
            <w:r>
              <w:rPr>
                <w:spacing w:val="3"/>
                <w:lang w:eastAsia="zh-CN"/>
              </w:rPr>
              <w:t xml:space="preserve"> </w:t>
            </w:r>
            <w:r>
              <w:rPr>
                <w:rFonts w:hint="eastAsia" w:ascii="宋体" w:hAnsi="宋体" w:eastAsia="宋体" w:cs="宋体"/>
                <w:spacing w:val="9"/>
                <w:lang w:eastAsia="zh-CN"/>
              </w:rPr>
              <w:t>女、儿童的法律知识，为受害妇女儿童提</w:t>
            </w:r>
          </w:p>
        </w:tc>
        <w:tc>
          <w:tcPr>
            <w:tcW w:w="2973" w:type="dxa"/>
          </w:tcPr>
          <w:p>
            <w:pPr>
              <w:pStyle w:val="19"/>
              <w:spacing w:before="56" w:line="261" w:lineRule="auto"/>
              <w:ind w:left="113" w:right="131" w:firstLine="3"/>
              <w:rPr>
                <w:lang w:eastAsia="zh-CN"/>
              </w:rPr>
            </w:pPr>
            <w:r>
              <w:rPr>
                <w:rFonts w:hint="eastAsia" w:ascii="宋体" w:hAnsi="宋体" w:eastAsia="宋体" w:cs="宋体"/>
                <w:spacing w:val="8"/>
                <w:lang w:eastAsia="zh-CN"/>
              </w:rPr>
              <w:t>收好、管好、用好工会经费，</w:t>
            </w:r>
            <w:r>
              <w:rPr>
                <w:spacing w:val="8"/>
                <w:lang w:eastAsia="zh-CN"/>
              </w:rPr>
              <w:t xml:space="preserve"> </w:t>
            </w:r>
            <w:r>
              <w:rPr>
                <w:rFonts w:hint="eastAsia" w:ascii="宋体" w:hAnsi="宋体" w:eastAsia="宋体" w:cs="宋体"/>
                <w:spacing w:val="9"/>
                <w:lang w:eastAsia="zh-CN"/>
              </w:rPr>
              <w:t>维护妇女、儿童合法权益，加</w:t>
            </w:r>
            <w:r>
              <w:rPr>
                <w:lang w:eastAsia="zh-CN"/>
              </w:rPr>
              <w:t xml:space="preserve"> </w:t>
            </w:r>
            <w:r>
              <w:rPr>
                <w:rFonts w:hint="eastAsia" w:ascii="宋体" w:hAnsi="宋体" w:eastAsia="宋体" w:cs="宋体"/>
                <w:spacing w:val="8"/>
                <w:lang w:eastAsia="zh-CN"/>
              </w:rPr>
              <w:t>强对团员和青年的教育和管理，提高团员整体素质</w:t>
            </w:r>
          </w:p>
        </w:tc>
        <w:tc>
          <w:tcPr>
            <w:tcW w:w="661" w:type="dxa"/>
          </w:tcPr>
          <w:p>
            <w:pPr>
              <w:pStyle w:val="19"/>
              <w:spacing w:before="208"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2" w:lineRule="auto"/>
              <w:rPr>
                <w:snapToGrid w:val="0"/>
                <w:color w:val="000000"/>
                <w:lang w:eastAsia="en-US"/>
              </w:rPr>
            </w:pPr>
          </w:p>
          <w:p>
            <w:pPr>
              <w:spacing w:line="242"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180" w:type="dxa"/>
          </w:tcPr>
          <w:p>
            <w:pPr>
              <w:spacing w:line="441" w:lineRule="auto"/>
              <w:rPr>
                <w:snapToGrid w:val="0"/>
                <w:color w:val="000000"/>
                <w:lang w:eastAsia="en-US"/>
              </w:rPr>
            </w:pPr>
          </w:p>
          <w:p>
            <w:pPr>
              <w:pStyle w:val="19"/>
              <w:spacing w:before="65" w:line="253" w:lineRule="auto"/>
              <w:ind w:left="118" w:right="221" w:firstLine="1"/>
            </w:pPr>
            <w:r>
              <w:rPr>
                <w:rFonts w:hint="eastAsia" w:ascii="宋体" w:hAnsi="宋体" w:eastAsia="宋体" w:cs="宋体"/>
                <w:b/>
                <w:bCs/>
                <w:spacing w:val="5"/>
              </w:rPr>
              <w:t>纪检事务</w:t>
            </w:r>
            <w:r>
              <w:t xml:space="preserve"> </w:t>
            </w:r>
            <w:r>
              <w:rPr>
                <w:rFonts w:hint="eastAsia" w:ascii="宋体" w:hAnsi="宋体" w:eastAsia="宋体" w:cs="宋体"/>
                <w:b/>
                <w:bCs/>
                <w:spacing w:val="1"/>
              </w:rPr>
              <w:t>管理</w:t>
            </w:r>
          </w:p>
        </w:tc>
        <w:tc>
          <w:tcPr>
            <w:tcW w:w="4161" w:type="dxa"/>
          </w:tcPr>
          <w:p>
            <w:pPr>
              <w:spacing w:line="293" w:lineRule="auto"/>
              <w:rPr>
                <w:snapToGrid w:val="0"/>
                <w:color w:val="000000"/>
                <w:lang w:eastAsia="zh-CN"/>
              </w:rPr>
            </w:pPr>
          </w:p>
          <w:p>
            <w:pPr>
              <w:pStyle w:val="19"/>
              <w:spacing w:before="65" w:line="261" w:lineRule="auto"/>
              <w:ind w:left="105" w:right="103"/>
              <w:rPr>
                <w:lang w:eastAsia="zh-CN"/>
              </w:rPr>
            </w:pPr>
            <w:r>
              <w:rPr>
                <w:rFonts w:hint="eastAsia" w:ascii="宋体" w:hAnsi="宋体" w:eastAsia="宋体" w:cs="宋体"/>
                <w:spacing w:val="8"/>
                <w:lang w:eastAsia="zh-CN"/>
              </w:rPr>
              <w:t>对有关对象违反党纪政纪和违纪违法行为</w:t>
            </w:r>
            <w:r>
              <w:rPr>
                <w:spacing w:val="8"/>
                <w:lang w:eastAsia="zh-CN"/>
              </w:rPr>
              <w:t xml:space="preserve">  </w:t>
            </w:r>
            <w:r>
              <w:rPr>
                <w:rFonts w:hint="eastAsia" w:ascii="宋体" w:hAnsi="宋体" w:eastAsia="宋体" w:cs="宋体"/>
                <w:spacing w:val="7"/>
                <w:lang w:eastAsia="zh-CN"/>
              </w:rPr>
              <w:t>进行处理；组织协调案件查办工作；组织协</w:t>
            </w:r>
            <w:r>
              <w:rPr>
                <w:spacing w:val="7"/>
                <w:lang w:eastAsia="zh-CN"/>
              </w:rPr>
              <w:t xml:space="preserve"> </w:t>
            </w:r>
            <w:r>
              <w:rPr>
                <w:rFonts w:hint="eastAsia" w:ascii="宋体" w:hAnsi="宋体" w:eastAsia="宋体" w:cs="宋体"/>
                <w:spacing w:val="9"/>
                <w:lang w:eastAsia="zh-CN"/>
              </w:rPr>
              <w:t>调全乡党风廉政建设</w:t>
            </w:r>
          </w:p>
        </w:tc>
        <w:tc>
          <w:tcPr>
            <w:tcW w:w="2973" w:type="dxa"/>
          </w:tcPr>
          <w:p>
            <w:pPr>
              <w:pStyle w:val="19"/>
              <w:spacing w:before="58" w:line="265" w:lineRule="auto"/>
              <w:ind w:left="109" w:right="28" w:firstLine="4"/>
              <w:jc w:val="both"/>
              <w:rPr>
                <w:lang w:eastAsia="zh-CN"/>
              </w:rPr>
            </w:pPr>
            <w:r>
              <w:rPr>
                <w:rFonts w:hint="eastAsia" w:ascii="宋体" w:hAnsi="宋体" w:eastAsia="宋体" w:cs="宋体"/>
                <w:spacing w:val="9"/>
                <w:lang w:eastAsia="zh-CN"/>
              </w:rPr>
              <w:t>维护党纪国法尊严，坚决惩处</w:t>
            </w:r>
            <w:r>
              <w:rPr>
                <w:lang w:eastAsia="zh-CN"/>
              </w:rPr>
              <w:t xml:space="preserve">  </w:t>
            </w:r>
            <w:r>
              <w:rPr>
                <w:rFonts w:hint="eastAsia" w:ascii="宋体" w:hAnsi="宋体" w:eastAsia="宋体" w:cs="宋体"/>
                <w:spacing w:val="1"/>
                <w:lang w:eastAsia="zh-CN"/>
              </w:rPr>
              <w:t>腐败分子，有效遏制腐败现象。</w:t>
            </w:r>
            <w:r>
              <w:rPr>
                <w:spacing w:val="9"/>
                <w:lang w:eastAsia="zh-CN"/>
              </w:rPr>
              <w:t xml:space="preserve"> </w:t>
            </w:r>
            <w:r>
              <w:rPr>
                <w:rFonts w:hint="eastAsia" w:ascii="宋体" w:hAnsi="宋体" w:eastAsia="宋体" w:cs="宋体"/>
                <w:spacing w:val="9"/>
                <w:lang w:eastAsia="zh-CN"/>
              </w:rPr>
              <w:t>积极发挥职能作用，加强党风</w:t>
            </w:r>
            <w:r>
              <w:rPr>
                <w:spacing w:val="1"/>
                <w:lang w:eastAsia="zh-CN"/>
              </w:rPr>
              <w:t xml:space="preserve">  </w:t>
            </w:r>
            <w:r>
              <w:rPr>
                <w:rFonts w:hint="eastAsia" w:ascii="宋体" w:hAnsi="宋体" w:eastAsia="宋体" w:cs="宋体"/>
                <w:spacing w:val="9"/>
                <w:lang w:eastAsia="zh-CN"/>
              </w:rPr>
              <w:t>廉政建设，营造风清气正、干</w:t>
            </w:r>
            <w:r>
              <w:rPr>
                <w:rFonts w:hint="eastAsia" w:ascii="宋体" w:hAnsi="宋体" w:eastAsia="宋体" w:cs="宋体"/>
                <w:spacing w:val="7"/>
                <w:lang w:eastAsia="zh-CN"/>
              </w:rPr>
              <w:t>事创业的工作氛围。</w:t>
            </w:r>
          </w:p>
        </w:tc>
        <w:tc>
          <w:tcPr>
            <w:tcW w:w="661" w:type="dxa"/>
          </w:tcPr>
          <w:p>
            <w:pPr>
              <w:spacing w:line="293" w:lineRule="auto"/>
              <w:rPr>
                <w:snapToGrid w:val="0"/>
                <w:color w:val="000000"/>
                <w:lang w:eastAsia="zh-CN"/>
              </w:rPr>
            </w:pPr>
          </w:p>
          <w:p>
            <w:pPr>
              <w:pStyle w:val="19"/>
              <w:spacing w:before="6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17" w:lineRule="auto"/>
              <w:rPr>
                <w:snapToGrid w:val="0"/>
                <w:color w:val="000000"/>
                <w:lang w:eastAsia="en-US"/>
              </w:rPr>
            </w:pPr>
          </w:p>
          <w:p>
            <w:pPr>
              <w:spacing w:line="318"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180" w:type="dxa"/>
          </w:tcPr>
          <w:p>
            <w:pPr>
              <w:spacing w:line="312" w:lineRule="auto"/>
              <w:rPr>
                <w:snapToGrid w:val="0"/>
                <w:color w:val="000000"/>
                <w:lang w:eastAsia="en-US"/>
              </w:rPr>
            </w:pPr>
          </w:p>
          <w:p>
            <w:pPr>
              <w:pStyle w:val="19"/>
              <w:spacing w:before="65" w:line="253" w:lineRule="auto"/>
              <w:ind w:left="117" w:right="221" w:hanging="4"/>
            </w:pPr>
            <w:r>
              <w:rPr>
                <w:rFonts w:hint="eastAsia" w:ascii="宋体" w:hAnsi="宋体" w:eastAsia="宋体" w:cs="宋体"/>
                <w:b/>
                <w:bCs/>
                <w:spacing w:val="6"/>
              </w:rPr>
              <w:t>信访事务</w:t>
            </w:r>
            <w:r>
              <w:rPr>
                <w:spacing w:val="1"/>
              </w:rPr>
              <w:t xml:space="preserve"> </w:t>
            </w:r>
            <w:r>
              <w:rPr>
                <w:rFonts w:hint="eastAsia" w:ascii="宋体" w:hAnsi="宋体" w:eastAsia="宋体" w:cs="宋体"/>
                <w:b/>
                <w:bCs/>
                <w:spacing w:val="1"/>
              </w:rPr>
              <w:t>管理</w:t>
            </w:r>
          </w:p>
        </w:tc>
        <w:tc>
          <w:tcPr>
            <w:tcW w:w="4161" w:type="dxa"/>
          </w:tcPr>
          <w:p>
            <w:pPr>
              <w:pStyle w:val="19"/>
              <w:spacing w:before="80" w:line="265" w:lineRule="auto"/>
              <w:ind w:left="108" w:right="105" w:firstLine="3"/>
              <w:jc w:val="both"/>
            </w:pPr>
            <w:r>
              <w:rPr>
                <w:rFonts w:hint="eastAsia" w:ascii="宋体" w:hAnsi="宋体" w:eastAsia="宋体" w:cs="宋体"/>
                <w:spacing w:val="7"/>
                <w:lang w:eastAsia="zh-CN"/>
              </w:rPr>
              <w:t>办理正常信访业务，对信访事项督查、复查</w:t>
            </w:r>
            <w:r>
              <w:rPr>
                <w:lang w:eastAsia="zh-CN"/>
              </w:rPr>
              <w:t xml:space="preserve"> </w:t>
            </w:r>
            <w:r>
              <w:rPr>
                <w:rFonts w:hint="eastAsia" w:ascii="宋体" w:hAnsi="宋体" w:eastAsia="宋体" w:cs="宋体"/>
                <w:spacing w:val="7"/>
                <w:lang w:eastAsia="zh-CN"/>
              </w:rPr>
              <w:t>复核、听证做好组织协调、稳控劝返、服务</w:t>
            </w:r>
            <w:r>
              <w:rPr>
                <w:spacing w:val="2"/>
                <w:lang w:eastAsia="zh-CN"/>
              </w:rPr>
              <w:t xml:space="preserve"> </w:t>
            </w:r>
            <w:r>
              <w:rPr>
                <w:rFonts w:hint="eastAsia" w:ascii="宋体" w:hAnsi="宋体" w:eastAsia="宋体" w:cs="宋体"/>
                <w:spacing w:val="7"/>
                <w:lang w:eastAsia="zh-CN"/>
              </w:rPr>
              <w:t>保障工作，负责信访疑难案件的督办。</w:t>
            </w:r>
            <w:r>
              <w:rPr>
                <w:rFonts w:hint="eastAsia" w:ascii="宋体" w:hAnsi="宋体" w:eastAsia="宋体" w:cs="宋体"/>
                <w:spacing w:val="7"/>
              </w:rPr>
              <w:t>其他</w:t>
            </w:r>
            <w:r>
              <w:rPr>
                <w:spacing w:val="2"/>
              </w:rPr>
              <w:t xml:space="preserve"> </w:t>
            </w:r>
            <w:r>
              <w:rPr>
                <w:rFonts w:hint="eastAsia" w:ascii="宋体" w:hAnsi="宋体" w:eastAsia="宋体" w:cs="宋体"/>
                <w:spacing w:val="5"/>
              </w:rPr>
              <w:t>日常工作。</w:t>
            </w:r>
          </w:p>
        </w:tc>
        <w:tc>
          <w:tcPr>
            <w:tcW w:w="2973" w:type="dxa"/>
          </w:tcPr>
          <w:p>
            <w:pPr>
              <w:pStyle w:val="19"/>
              <w:spacing w:before="228" w:line="261" w:lineRule="auto"/>
              <w:ind w:left="116" w:right="29" w:hanging="7"/>
              <w:jc w:val="both"/>
              <w:rPr>
                <w:lang w:eastAsia="zh-CN"/>
              </w:rPr>
            </w:pPr>
            <w:r>
              <w:rPr>
                <w:rFonts w:hint="eastAsia" w:ascii="宋体" w:hAnsi="宋体" w:eastAsia="宋体" w:cs="宋体"/>
                <w:spacing w:val="1"/>
                <w:lang w:eastAsia="zh-CN"/>
              </w:rPr>
              <w:t>及时办理人民群众来信、来访、</w:t>
            </w:r>
            <w:r>
              <w:rPr>
                <w:spacing w:val="8"/>
                <w:lang w:eastAsia="zh-CN"/>
              </w:rPr>
              <w:t xml:space="preserve"> </w:t>
            </w:r>
            <w:r>
              <w:rPr>
                <w:rFonts w:hint="eastAsia" w:ascii="宋体" w:hAnsi="宋体" w:eastAsia="宋体" w:cs="宋体"/>
                <w:spacing w:val="8"/>
                <w:lang w:eastAsia="zh-CN"/>
              </w:rPr>
              <w:t>网上信访，并对相关事项进行</w:t>
            </w:r>
            <w:r>
              <w:rPr>
                <w:spacing w:val="4"/>
                <w:lang w:eastAsia="zh-CN"/>
              </w:rPr>
              <w:t xml:space="preserve">  </w:t>
            </w:r>
            <w:r>
              <w:rPr>
                <w:rFonts w:hint="eastAsia" w:ascii="宋体" w:hAnsi="宋体" w:eastAsia="宋体" w:cs="宋体"/>
                <w:spacing w:val="5"/>
                <w:lang w:eastAsia="zh-CN"/>
              </w:rPr>
              <w:t>审核、上报。</w:t>
            </w:r>
          </w:p>
        </w:tc>
        <w:tc>
          <w:tcPr>
            <w:tcW w:w="661" w:type="dxa"/>
          </w:tcPr>
          <w:p>
            <w:pPr>
              <w:pStyle w:val="19"/>
              <w:spacing w:before="228"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52" w:lineRule="auto"/>
              <w:rPr>
                <w:snapToGrid w:val="0"/>
                <w:color w:val="000000"/>
                <w:lang w:eastAsia="en-US"/>
              </w:rPr>
            </w:pPr>
          </w:p>
          <w:p>
            <w:pPr>
              <w:spacing w:line="252"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1180" w:type="dxa"/>
          </w:tcPr>
          <w:p>
            <w:pPr>
              <w:spacing w:line="334" w:lineRule="auto"/>
              <w:rPr>
                <w:snapToGrid w:val="0"/>
                <w:color w:val="000000"/>
                <w:lang w:eastAsia="en-US"/>
              </w:rPr>
            </w:pPr>
          </w:p>
          <w:p>
            <w:pPr>
              <w:pStyle w:val="19"/>
              <w:spacing w:before="65" w:line="253" w:lineRule="auto"/>
              <w:ind w:left="117" w:right="221" w:hanging="1"/>
            </w:pPr>
            <w:r>
              <w:rPr>
                <w:rFonts w:hint="eastAsia" w:ascii="宋体" w:hAnsi="宋体" w:eastAsia="宋体" w:cs="宋体"/>
                <w:b/>
                <w:bCs/>
                <w:spacing w:val="5"/>
              </w:rPr>
              <w:t>武装事务</w:t>
            </w:r>
            <w:r>
              <w:rPr>
                <w:spacing w:val="2"/>
              </w:rPr>
              <w:t xml:space="preserve"> </w:t>
            </w:r>
            <w:r>
              <w:rPr>
                <w:rFonts w:hint="eastAsia" w:ascii="宋体" w:hAnsi="宋体" w:eastAsia="宋体" w:cs="宋体"/>
                <w:b/>
                <w:bCs/>
                <w:spacing w:val="1"/>
              </w:rPr>
              <w:t>管理</w:t>
            </w:r>
          </w:p>
        </w:tc>
        <w:tc>
          <w:tcPr>
            <w:tcW w:w="4161" w:type="dxa"/>
          </w:tcPr>
          <w:p>
            <w:pPr>
              <w:pStyle w:val="19"/>
              <w:spacing w:before="100" w:line="265" w:lineRule="auto"/>
              <w:ind w:left="108" w:right="103" w:firstLine="7"/>
              <w:jc w:val="both"/>
            </w:pPr>
            <w:r>
              <w:rPr>
                <w:rFonts w:hint="eastAsia" w:ascii="宋体" w:hAnsi="宋体" w:eastAsia="宋体" w:cs="宋体"/>
                <w:spacing w:val="6"/>
                <w:lang w:eastAsia="zh-CN"/>
              </w:rPr>
              <w:t>负责全乡民兵组织建设、政治教育、军事训</w:t>
            </w:r>
            <w:r>
              <w:rPr>
                <w:spacing w:val="16"/>
                <w:lang w:eastAsia="zh-CN"/>
              </w:rPr>
              <w:t xml:space="preserve"> </w:t>
            </w:r>
            <w:r>
              <w:rPr>
                <w:rFonts w:hint="eastAsia" w:ascii="宋体" w:hAnsi="宋体" w:eastAsia="宋体" w:cs="宋体"/>
                <w:spacing w:val="7"/>
                <w:lang w:eastAsia="zh-CN"/>
              </w:rPr>
              <w:t>练、武装装备管理工作，负责全乡的征兵工</w:t>
            </w:r>
            <w:r>
              <w:rPr>
                <w:spacing w:val="2"/>
                <w:lang w:eastAsia="zh-CN"/>
              </w:rPr>
              <w:t xml:space="preserve"> </w:t>
            </w:r>
            <w:r>
              <w:rPr>
                <w:rFonts w:hint="eastAsia" w:ascii="宋体" w:hAnsi="宋体" w:eastAsia="宋体" w:cs="宋体"/>
                <w:spacing w:val="7"/>
                <w:lang w:eastAsia="zh-CN"/>
              </w:rPr>
              <w:t>作，协助有关部门开展国防教育，做好退伍</w:t>
            </w:r>
            <w:r>
              <w:rPr>
                <w:spacing w:val="2"/>
                <w:lang w:eastAsia="zh-CN"/>
              </w:rPr>
              <w:t xml:space="preserve"> </w:t>
            </w:r>
            <w:r>
              <w:rPr>
                <w:rFonts w:hint="eastAsia" w:ascii="宋体" w:hAnsi="宋体" w:eastAsia="宋体" w:cs="宋体"/>
                <w:spacing w:val="8"/>
                <w:lang w:eastAsia="zh-CN"/>
              </w:rPr>
              <w:t>军人的安置和优抚工作。</w:t>
            </w:r>
            <w:r>
              <w:rPr>
                <w:rFonts w:hint="eastAsia" w:ascii="宋体" w:hAnsi="宋体" w:eastAsia="宋体" w:cs="宋体"/>
                <w:spacing w:val="8"/>
              </w:rPr>
              <w:t>其他日常工作。</w:t>
            </w:r>
          </w:p>
        </w:tc>
        <w:tc>
          <w:tcPr>
            <w:tcW w:w="2973" w:type="dxa"/>
          </w:tcPr>
          <w:p>
            <w:pPr>
              <w:spacing w:line="334" w:lineRule="auto"/>
              <w:rPr>
                <w:snapToGrid w:val="0"/>
                <w:color w:val="000000"/>
                <w:lang w:eastAsia="zh-CN"/>
              </w:rPr>
            </w:pPr>
          </w:p>
          <w:p>
            <w:pPr>
              <w:pStyle w:val="19"/>
              <w:spacing w:before="65" w:line="253" w:lineRule="auto"/>
              <w:ind w:left="112" w:right="131" w:hanging="2"/>
              <w:rPr>
                <w:lang w:eastAsia="zh-CN"/>
              </w:rPr>
            </w:pPr>
            <w:r>
              <w:rPr>
                <w:rFonts w:hint="eastAsia" w:ascii="宋体" w:hAnsi="宋体" w:eastAsia="宋体" w:cs="宋体"/>
                <w:spacing w:val="9"/>
                <w:lang w:eastAsia="zh-CN"/>
              </w:rPr>
              <w:t>加强民兵组织建设及装备管理</w:t>
            </w:r>
            <w:r>
              <w:rPr>
                <w:spacing w:val="2"/>
                <w:lang w:eastAsia="zh-CN"/>
              </w:rPr>
              <w:t xml:space="preserve"> </w:t>
            </w:r>
            <w:r>
              <w:rPr>
                <w:rFonts w:hint="eastAsia" w:ascii="宋体" w:hAnsi="宋体" w:eastAsia="宋体" w:cs="宋体"/>
                <w:spacing w:val="8"/>
                <w:lang w:eastAsia="zh-CN"/>
              </w:rPr>
              <w:t>工作，完成全乡征兵工作。</w:t>
            </w:r>
          </w:p>
        </w:tc>
        <w:tc>
          <w:tcPr>
            <w:tcW w:w="661" w:type="dxa"/>
          </w:tcPr>
          <w:p>
            <w:pPr>
              <w:pStyle w:val="19"/>
              <w:spacing w:before="252"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64" w:lineRule="auto"/>
              <w:rPr>
                <w:snapToGrid w:val="0"/>
                <w:color w:val="000000"/>
                <w:lang w:eastAsia="en-US"/>
              </w:rPr>
            </w:pPr>
          </w:p>
          <w:p>
            <w:pPr>
              <w:spacing w:line="264"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1180" w:type="dxa"/>
          </w:tcPr>
          <w:p>
            <w:pPr>
              <w:pStyle w:val="19"/>
              <w:spacing w:before="213" w:line="253" w:lineRule="auto"/>
              <w:ind w:left="113" w:right="221" w:firstLine="2"/>
            </w:pPr>
            <w:r>
              <w:rPr>
                <w:rFonts w:hint="eastAsia" w:ascii="宋体" w:hAnsi="宋体" w:eastAsia="宋体" w:cs="宋体"/>
                <w:b/>
                <w:bCs/>
                <w:spacing w:val="5"/>
              </w:rPr>
              <w:t>综治司法</w:t>
            </w:r>
            <w:r>
              <w:rPr>
                <w:spacing w:val="2"/>
              </w:rPr>
              <w:t xml:space="preserve"> </w:t>
            </w:r>
            <w:r>
              <w:rPr>
                <w:rFonts w:hint="eastAsia" w:ascii="宋体" w:hAnsi="宋体" w:eastAsia="宋体" w:cs="宋体"/>
                <w:b/>
                <w:bCs/>
                <w:spacing w:val="6"/>
              </w:rPr>
              <w:t>事务管理</w:t>
            </w:r>
          </w:p>
        </w:tc>
        <w:tc>
          <w:tcPr>
            <w:tcW w:w="4161" w:type="dxa"/>
          </w:tcPr>
          <w:p>
            <w:pPr>
              <w:pStyle w:val="19"/>
              <w:spacing w:before="62" w:line="256" w:lineRule="auto"/>
              <w:ind w:left="110" w:right="103" w:firstLine="1"/>
              <w:jc w:val="both"/>
              <w:rPr>
                <w:lang w:eastAsia="zh-CN"/>
              </w:rPr>
            </w:pPr>
            <w:r>
              <w:rPr>
                <w:rFonts w:hint="eastAsia" w:ascii="宋体" w:hAnsi="宋体" w:eastAsia="宋体" w:cs="宋体"/>
                <w:spacing w:val="7"/>
                <w:lang w:eastAsia="zh-CN"/>
              </w:rPr>
              <w:t>安排、指导、督促本乡的社会治安综合治理</w:t>
            </w:r>
            <w:r>
              <w:rPr>
                <w:spacing w:val="1"/>
                <w:lang w:eastAsia="zh-CN"/>
              </w:rPr>
              <w:t xml:space="preserve"> </w:t>
            </w:r>
            <w:r>
              <w:rPr>
                <w:rFonts w:hint="eastAsia" w:ascii="宋体" w:hAnsi="宋体" w:eastAsia="宋体" w:cs="宋体"/>
                <w:spacing w:val="4"/>
                <w:lang w:eastAsia="zh-CN"/>
              </w:rPr>
              <w:t>工作，解决存在的问题</w:t>
            </w:r>
            <w:r>
              <w:rPr>
                <w:spacing w:val="4"/>
                <w:lang w:eastAsia="zh-CN"/>
              </w:rPr>
              <w:t>;</w:t>
            </w:r>
            <w:r>
              <w:rPr>
                <w:rFonts w:hint="eastAsia" w:ascii="宋体" w:hAnsi="宋体" w:eastAsia="宋体" w:cs="宋体"/>
                <w:spacing w:val="4"/>
                <w:lang w:eastAsia="zh-CN"/>
              </w:rPr>
              <w:t>定期开展矛盾纠纷排</w:t>
            </w:r>
            <w:r>
              <w:rPr>
                <w:lang w:eastAsia="zh-CN"/>
              </w:rPr>
              <w:t xml:space="preserve"> </w:t>
            </w:r>
            <w:r>
              <w:rPr>
                <w:rFonts w:hint="eastAsia" w:ascii="宋体" w:hAnsi="宋体" w:eastAsia="宋体" w:cs="宋体"/>
                <w:spacing w:val="8"/>
                <w:lang w:eastAsia="zh-CN"/>
              </w:rPr>
              <w:t>查，按上级要求</w:t>
            </w:r>
          </w:p>
        </w:tc>
        <w:tc>
          <w:tcPr>
            <w:tcW w:w="2973" w:type="dxa"/>
          </w:tcPr>
          <w:p>
            <w:pPr>
              <w:pStyle w:val="19"/>
              <w:spacing w:before="62" w:line="256" w:lineRule="auto"/>
              <w:ind w:left="109" w:right="131" w:firstLine="2"/>
              <w:rPr>
                <w:lang w:eastAsia="zh-CN"/>
              </w:rPr>
            </w:pPr>
            <w:r>
              <w:rPr>
                <w:rFonts w:hint="eastAsia" w:ascii="宋体" w:hAnsi="宋体" w:eastAsia="宋体" w:cs="宋体"/>
                <w:spacing w:val="9"/>
                <w:lang w:eastAsia="zh-CN"/>
              </w:rPr>
              <w:t>完成本乡社会治安综合治理工</w:t>
            </w:r>
            <w:r>
              <w:rPr>
                <w:spacing w:val="1"/>
                <w:lang w:eastAsia="zh-CN"/>
              </w:rPr>
              <w:t xml:space="preserve"> </w:t>
            </w:r>
            <w:r>
              <w:rPr>
                <w:rFonts w:hint="eastAsia" w:ascii="宋体" w:hAnsi="宋体" w:eastAsia="宋体" w:cs="宋体"/>
                <w:spacing w:val="9"/>
                <w:lang w:eastAsia="zh-CN"/>
              </w:rPr>
              <w:t>作，定期开展矛盾纠纷排查，</w:t>
            </w:r>
            <w:r>
              <w:rPr>
                <w:rFonts w:hint="eastAsia" w:ascii="宋体" w:hAnsi="宋体" w:eastAsia="宋体" w:cs="宋体"/>
                <w:spacing w:val="7"/>
                <w:lang w:eastAsia="zh-CN"/>
              </w:rPr>
              <w:t>及时上报综治信息。</w:t>
            </w:r>
          </w:p>
        </w:tc>
        <w:tc>
          <w:tcPr>
            <w:tcW w:w="661" w:type="dxa"/>
          </w:tcPr>
          <w:p>
            <w:pPr>
              <w:pStyle w:val="19"/>
              <w:spacing w:before="62" w:line="256"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39"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1180" w:type="dxa"/>
          </w:tcPr>
          <w:p>
            <w:pPr>
              <w:spacing w:line="296" w:lineRule="auto"/>
              <w:rPr>
                <w:snapToGrid w:val="0"/>
                <w:color w:val="000000"/>
                <w:lang w:eastAsia="zh-CN"/>
              </w:rPr>
            </w:pPr>
          </w:p>
          <w:p>
            <w:pPr>
              <w:pStyle w:val="19"/>
              <w:spacing w:before="65" w:line="261" w:lineRule="auto"/>
              <w:ind w:left="113" w:right="221" w:firstLine="2"/>
              <w:jc w:val="both"/>
              <w:rPr>
                <w:lang w:eastAsia="zh-CN"/>
              </w:rPr>
            </w:pPr>
            <w:r>
              <w:rPr>
                <w:rFonts w:hint="eastAsia" w:ascii="宋体" w:hAnsi="宋体" w:eastAsia="宋体" w:cs="宋体"/>
                <w:b/>
                <w:bCs/>
                <w:spacing w:val="6"/>
                <w:lang w:eastAsia="zh-CN"/>
              </w:rPr>
              <w:t>人口与计</w:t>
            </w:r>
            <w:r>
              <w:rPr>
                <w:lang w:eastAsia="zh-CN"/>
              </w:rPr>
              <w:t xml:space="preserve"> </w:t>
            </w:r>
            <w:r>
              <w:rPr>
                <w:rFonts w:hint="eastAsia" w:ascii="宋体" w:hAnsi="宋体" w:eastAsia="宋体" w:cs="宋体"/>
                <w:b/>
                <w:bCs/>
                <w:spacing w:val="6"/>
                <w:lang w:eastAsia="zh-CN"/>
              </w:rPr>
              <w:t>划生育行</w:t>
            </w:r>
            <w:r>
              <w:rPr>
                <w:spacing w:val="1"/>
                <w:lang w:eastAsia="zh-CN"/>
              </w:rPr>
              <w:t xml:space="preserve"> </w:t>
            </w:r>
            <w:r>
              <w:rPr>
                <w:rFonts w:hint="eastAsia" w:ascii="宋体" w:hAnsi="宋体" w:eastAsia="宋体" w:cs="宋体"/>
                <w:b/>
                <w:bCs/>
                <w:spacing w:val="5"/>
                <w:lang w:eastAsia="zh-CN"/>
              </w:rPr>
              <w:t>政运行</w:t>
            </w:r>
          </w:p>
        </w:tc>
        <w:tc>
          <w:tcPr>
            <w:tcW w:w="4161" w:type="dxa"/>
          </w:tcPr>
          <w:p>
            <w:pPr>
              <w:pStyle w:val="19"/>
              <w:spacing w:before="213" w:line="265" w:lineRule="auto"/>
              <w:ind w:left="106" w:right="47"/>
              <w:jc w:val="both"/>
              <w:rPr>
                <w:lang w:eastAsia="zh-CN"/>
              </w:rPr>
            </w:pPr>
            <w:r>
              <w:rPr>
                <w:rFonts w:hint="eastAsia" w:ascii="宋体" w:hAnsi="宋体" w:eastAsia="宋体" w:cs="宋体"/>
                <w:spacing w:val="-1"/>
                <w:lang w:eastAsia="zh-CN"/>
              </w:rPr>
              <w:t>执行党和国家的计划生育方针、政策、法规，</w:t>
            </w:r>
            <w:r>
              <w:rPr>
                <w:spacing w:val="15"/>
                <w:lang w:eastAsia="zh-CN"/>
              </w:rPr>
              <w:t xml:space="preserve"> </w:t>
            </w:r>
            <w:r>
              <w:rPr>
                <w:rFonts w:hint="eastAsia" w:ascii="宋体" w:hAnsi="宋体" w:eastAsia="宋体" w:cs="宋体"/>
                <w:spacing w:val="7"/>
                <w:lang w:eastAsia="zh-CN"/>
              </w:rPr>
              <w:t>提供各类计划生育技术服务，建立利益导向</w:t>
            </w:r>
            <w:r>
              <w:rPr>
                <w:spacing w:val="4"/>
                <w:lang w:eastAsia="zh-CN"/>
              </w:rPr>
              <w:t xml:space="preserve"> </w:t>
            </w:r>
            <w:r>
              <w:rPr>
                <w:rFonts w:hint="eastAsia" w:ascii="宋体" w:hAnsi="宋体" w:eastAsia="宋体" w:cs="宋体"/>
                <w:spacing w:val="7"/>
                <w:lang w:eastAsia="zh-CN"/>
              </w:rPr>
              <w:t>机制，开展出生人口性别比治理以及流动人</w:t>
            </w:r>
            <w:r>
              <w:rPr>
                <w:spacing w:val="4"/>
                <w:lang w:eastAsia="zh-CN"/>
              </w:rPr>
              <w:t xml:space="preserve"> </w:t>
            </w:r>
            <w:r>
              <w:rPr>
                <w:rFonts w:hint="eastAsia" w:ascii="宋体" w:hAnsi="宋体" w:eastAsia="宋体" w:cs="宋体"/>
                <w:spacing w:val="8"/>
                <w:lang w:eastAsia="zh-CN"/>
              </w:rPr>
              <w:t>口计划生育管理等各项工作。</w:t>
            </w:r>
          </w:p>
        </w:tc>
        <w:tc>
          <w:tcPr>
            <w:tcW w:w="2973" w:type="dxa"/>
          </w:tcPr>
          <w:p>
            <w:pPr>
              <w:pStyle w:val="19"/>
              <w:spacing w:before="64" w:line="264" w:lineRule="auto"/>
              <w:ind w:left="111" w:right="131"/>
              <w:rPr>
                <w:lang w:eastAsia="zh-CN"/>
              </w:rPr>
            </w:pPr>
            <w:r>
              <w:rPr>
                <w:rFonts w:hint="eastAsia" w:ascii="宋体" w:hAnsi="宋体" w:eastAsia="宋体" w:cs="宋体"/>
                <w:spacing w:val="9"/>
                <w:lang w:eastAsia="zh-CN"/>
              </w:rPr>
              <w:t>稳定适度的低生育水平，有效</w:t>
            </w:r>
            <w:r>
              <w:rPr>
                <w:spacing w:val="1"/>
                <w:lang w:eastAsia="zh-CN"/>
              </w:rPr>
              <w:t xml:space="preserve"> </w:t>
            </w:r>
            <w:r>
              <w:rPr>
                <w:rFonts w:hint="eastAsia" w:ascii="宋体" w:hAnsi="宋体" w:eastAsia="宋体" w:cs="宋体"/>
                <w:spacing w:val="9"/>
                <w:lang w:eastAsia="zh-CN"/>
              </w:rPr>
              <w:t>保障计划生育家庭生活水平，</w:t>
            </w:r>
            <w:r>
              <w:rPr>
                <w:spacing w:val="1"/>
                <w:lang w:eastAsia="zh-CN"/>
              </w:rPr>
              <w:t xml:space="preserve"> </w:t>
            </w:r>
            <w:r>
              <w:rPr>
                <w:rFonts w:hint="eastAsia" w:ascii="宋体" w:hAnsi="宋体" w:eastAsia="宋体" w:cs="宋体"/>
                <w:spacing w:val="9"/>
                <w:lang w:eastAsia="zh-CN"/>
              </w:rPr>
              <w:t>提高妇女生殖健康水平，降低</w:t>
            </w:r>
            <w:r>
              <w:rPr>
                <w:spacing w:val="1"/>
                <w:lang w:eastAsia="zh-CN"/>
              </w:rPr>
              <w:t xml:space="preserve"> </w:t>
            </w:r>
            <w:r>
              <w:rPr>
                <w:rFonts w:hint="eastAsia" w:ascii="宋体" w:hAnsi="宋体" w:eastAsia="宋体" w:cs="宋体"/>
                <w:spacing w:val="9"/>
                <w:lang w:eastAsia="zh-CN"/>
              </w:rPr>
              <w:t>出生缺陷的发生，有效遏制出</w:t>
            </w:r>
            <w:r>
              <w:rPr>
                <w:spacing w:val="1"/>
                <w:lang w:eastAsia="zh-CN"/>
              </w:rPr>
              <w:t xml:space="preserve"> </w:t>
            </w:r>
            <w:r>
              <w:rPr>
                <w:rFonts w:hint="eastAsia" w:ascii="宋体" w:hAnsi="宋体" w:eastAsia="宋体" w:cs="宋体"/>
                <w:spacing w:val="8"/>
                <w:lang w:eastAsia="zh-CN"/>
              </w:rPr>
              <w:t>生人口性别比偏高问题。</w:t>
            </w:r>
          </w:p>
        </w:tc>
        <w:tc>
          <w:tcPr>
            <w:tcW w:w="661" w:type="dxa"/>
          </w:tcPr>
          <w:p>
            <w:pPr>
              <w:spacing w:line="296" w:lineRule="auto"/>
              <w:rPr>
                <w:snapToGrid w:val="0"/>
                <w:color w:val="000000"/>
                <w:lang w:eastAsia="zh-CN"/>
              </w:rPr>
            </w:pPr>
          </w:p>
          <w:p>
            <w:pPr>
              <w:pStyle w:val="19"/>
              <w:spacing w:before="6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19" w:lineRule="auto"/>
              <w:rPr>
                <w:snapToGrid w:val="0"/>
                <w:color w:val="000000"/>
                <w:lang w:eastAsia="en-US"/>
              </w:rPr>
            </w:pPr>
          </w:p>
          <w:p>
            <w:pPr>
              <w:spacing w:line="319"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298" w:lineRule="auto"/>
              <w:rPr>
                <w:snapToGrid w:val="0"/>
                <w:color w:val="000000"/>
                <w:lang w:eastAsia="en-US"/>
              </w:rPr>
            </w:pPr>
          </w:p>
          <w:p>
            <w:pPr>
              <w:pStyle w:val="19"/>
              <w:spacing w:before="65" w:line="253" w:lineRule="auto"/>
              <w:ind w:left="113" w:right="221"/>
            </w:pPr>
            <w:r>
              <w:rPr>
                <w:rFonts w:hint="eastAsia" w:ascii="宋体" w:hAnsi="宋体" w:eastAsia="宋体" w:cs="宋体"/>
                <w:b/>
                <w:bCs/>
                <w:spacing w:val="6"/>
              </w:rPr>
              <w:t>计划生育</w:t>
            </w:r>
            <w:r>
              <w:rPr>
                <w:spacing w:val="1"/>
              </w:rPr>
              <w:t xml:space="preserve"> </w:t>
            </w:r>
            <w:r>
              <w:rPr>
                <w:rFonts w:hint="eastAsia" w:ascii="宋体" w:hAnsi="宋体" w:eastAsia="宋体" w:cs="宋体"/>
                <w:b/>
                <w:bCs/>
                <w:spacing w:val="6"/>
              </w:rPr>
              <w:t>事务管理</w:t>
            </w:r>
          </w:p>
        </w:tc>
        <w:tc>
          <w:tcPr>
            <w:tcW w:w="4161" w:type="dxa"/>
          </w:tcPr>
          <w:p>
            <w:pPr>
              <w:pStyle w:val="19"/>
              <w:spacing w:before="215" w:line="261" w:lineRule="auto"/>
              <w:ind w:left="110" w:right="97" w:hanging="3"/>
              <w:jc w:val="both"/>
              <w:rPr>
                <w:lang w:eastAsia="zh-CN"/>
              </w:rPr>
            </w:pPr>
            <w:r>
              <w:rPr>
                <w:rFonts w:hint="eastAsia" w:ascii="宋体" w:hAnsi="宋体" w:eastAsia="宋体" w:cs="宋体"/>
                <w:spacing w:val="7"/>
                <w:lang w:eastAsia="zh-CN"/>
              </w:rPr>
              <w:t>做好出生人口性别比治理工作的组织领导、</w:t>
            </w:r>
            <w:r>
              <w:rPr>
                <w:spacing w:val="12"/>
                <w:lang w:eastAsia="zh-CN"/>
              </w:rPr>
              <w:t xml:space="preserve"> </w:t>
            </w:r>
            <w:r>
              <w:rPr>
                <w:rFonts w:hint="eastAsia" w:ascii="宋体" w:hAnsi="宋体" w:eastAsia="宋体" w:cs="宋体"/>
                <w:spacing w:val="8"/>
                <w:lang w:eastAsia="zh-CN"/>
              </w:rPr>
              <w:t>宣传倡导、利益导向、全程服务、严查</w:t>
            </w:r>
            <w:r>
              <w:rPr>
                <w:spacing w:val="8"/>
                <w:lang w:eastAsia="zh-CN"/>
              </w:rPr>
              <w:t>“</w:t>
            </w:r>
            <w:r>
              <w:rPr>
                <w:rFonts w:hint="eastAsia" w:ascii="宋体" w:hAnsi="宋体" w:eastAsia="宋体" w:cs="宋体"/>
                <w:spacing w:val="8"/>
                <w:lang w:eastAsia="zh-CN"/>
              </w:rPr>
              <w:t>两</w:t>
            </w:r>
            <w:r>
              <w:rPr>
                <w:spacing w:val="8"/>
                <w:lang w:eastAsia="zh-CN"/>
              </w:rPr>
              <w:t xml:space="preserve"> </w:t>
            </w:r>
            <w:r>
              <w:rPr>
                <w:rFonts w:hint="eastAsia" w:ascii="宋体" w:hAnsi="宋体" w:eastAsia="宋体" w:cs="宋体"/>
                <w:spacing w:val="3"/>
                <w:lang w:eastAsia="zh-CN"/>
              </w:rPr>
              <w:t>非</w:t>
            </w:r>
            <w:r>
              <w:rPr>
                <w:spacing w:val="3"/>
                <w:lang w:eastAsia="zh-CN"/>
              </w:rPr>
              <w:t>”</w:t>
            </w:r>
            <w:r>
              <w:rPr>
                <w:spacing w:val="-21"/>
                <w:lang w:eastAsia="zh-CN"/>
              </w:rPr>
              <w:t xml:space="preserve"> </w:t>
            </w:r>
            <w:r>
              <w:rPr>
                <w:rFonts w:hint="eastAsia" w:ascii="宋体" w:hAnsi="宋体" w:eastAsia="宋体" w:cs="宋体"/>
                <w:spacing w:val="3"/>
                <w:lang w:eastAsia="zh-CN"/>
              </w:rPr>
              <w:t>、统计监测</w:t>
            </w:r>
          </w:p>
        </w:tc>
        <w:tc>
          <w:tcPr>
            <w:tcW w:w="2973" w:type="dxa"/>
          </w:tcPr>
          <w:p>
            <w:pPr>
              <w:pStyle w:val="19"/>
              <w:spacing w:before="65" w:line="253" w:lineRule="auto"/>
              <w:ind w:left="110" w:right="131"/>
              <w:rPr>
                <w:lang w:eastAsia="zh-CN"/>
              </w:rPr>
            </w:pPr>
            <w:r>
              <w:rPr>
                <w:rFonts w:hint="eastAsia" w:ascii="宋体" w:hAnsi="宋体" w:eastAsia="宋体" w:cs="宋体"/>
                <w:spacing w:val="9"/>
                <w:lang w:eastAsia="zh-CN"/>
              </w:rPr>
              <w:t>服务工作得到群众满意，增进</w:t>
            </w:r>
            <w:r>
              <w:rPr>
                <w:spacing w:val="2"/>
                <w:lang w:eastAsia="zh-CN"/>
              </w:rPr>
              <w:t xml:space="preserve"> </w:t>
            </w:r>
            <w:r>
              <w:rPr>
                <w:rFonts w:hint="eastAsia" w:ascii="宋体" w:hAnsi="宋体" w:eastAsia="宋体" w:cs="宋体"/>
                <w:spacing w:val="9"/>
                <w:lang w:eastAsia="zh-CN"/>
              </w:rPr>
              <w:t>广大育龄群众和计生家庭福</w:t>
            </w:r>
          </w:p>
          <w:p>
            <w:pPr>
              <w:pStyle w:val="19"/>
              <w:spacing w:before="53" w:line="243" w:lineRule="auto"/>
              <w:ind w:left="118" w:right="131" w:hanging="8"/>
              <w:rPr>
                <w:lang w:eastAsia="zh-CN"/>
              </w:rPr>
            </w:pPr>
            <w:r>
              <w:rPr>
                <w:rFonts w:hint="eastAsia" w:ascii="宋体" w:hAnsi="宋体" w:eastAsia="宋体" w:cs="宋体"/>
                <w:spacing w:val="9"/>
                <w:lang w:eastAsia="zh-CN"/>
              </w:rPr>
              <w:t>祉，提高群众自觉实行计划生</w:t>
            </w:r>
            <w:r>
              <w:rPr>
                <w:spacing w:val="2"/>
                <w:lang w:eastAsia="zh-CN"/>
              </w:rPr>
              <w:t xml:space="preserve"> </w:t>
            </w:r>
            <w:r>
              <w:rPr>
                <w:rFonts w:hint="eastAsia" w:ascii="宋体" w:hAnsi="宋体" w:eastAsia="宋体" w:cs="宋体"/>
                <w:spacing w:val="5"/>
                <w:lang w:eastAsia="zh-CN"/>
              </w:rPr>
              <w:t>育的积极性。</w:t>
            </w:r>
          </w:p>
        </w:tc>
        <w:tc>
          <w:tcPr>
            <w:tcW w:w="661" w:type="dxa"/>
          </w:tcPr>
          <w:p>
            <w:pPr>
              <w:pStyle w:val="19"/>
              <w:spacing w:before="214"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5" w:lineRule="auto"/>
              <w:rPr>
                <w:snapToGrid w:val="0"/>
                <w:color w:val="000000"/>
                <w:lang w:eastAsia="en-US"/>
              </w:rPr>
            </w:pPr>
          </w:p>
          <w:p>
            <w:pPr>
              <w:spacing w:line="245" w:lineRule="auto"/>
              <w:rPr>
                <w:snapToGrid w:val="0"/>
                <w:color w:val="000000"/>
                <w:lang w:eastAsia="en-US"/>
              </w:rPr>
            </w:pPr>
          </w:p>
          <w:p>
            <w:pPr>
              <w:spacing w:before="58" w:line="195" w:lineRule="auto"/>
              <w:ind w:left="354"/>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pacing w:val="-2"/>
                <w:sz w:val="20"/>
                <w:szCs w:val="20"/>
                <w:lang w:eastAsia="en-US"/>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4" w:hRule="atLeast"/>
        </w:trPr>
        <w:tc>
          <w:tcPr>
            <w:tcW w:w="1180" w:type="dxa"/>
          </w:tcPr>
          <w:p>
            <w:pPr>
              <w:spacing w:line="300" w:lineRule="auto"/>
              <w:rPr>
                <w:snapToGrid w:val="0"/>
                <w:color w:val="000000"/>
                <w:lang w:eastAsia="en-US"/>
              </w:rPr>
            </w:pPr>
          </w:p>
          <w:p>
            <w:pPr>
              <w:pStyle w:val="19"/>
              <w:spacing w:before="65" w:line="253" w:lineRule="auto"/>
              <w:ind w:left="113" w:right="108"/>
            </w:pPr>
            <w:r>
              <w:rPr>
                <w:rFonts w:hint="eastAsia" w:ascii="宋体" w:hAnsi="宋体" w:eastAsia="宋体" w:cs="宋体"/>
                <w:b/>
                <w:bCs/>
                <w:spacing w:val="34"/>
              </w:rPr>
              <w:t>农业行政</w:t>
            </w:r>
            <w:r>
              <w:rPr>
                <w:spacing w:val="1"/>
              </w:rPr>
              <w:t xml:space="preserve"> </w:t>
            </w:r>
            <w:r>
              <w:rPr>
                <w:rFonts w:hint="eastAsia" w:ascii="宋体" w:hAnsi="宋体" w:eastAsia="宋体" w:cs="宋体"/>
                <w:b/>
                <w:bCs/>
                <w:spacing w:val="3"/>
              </w:rPr>
              <w:t>运行</w:t>
            </w:r>
          </w:p>
        </w:tc>
        <w:tc>
          <w:tcPr>
            <w:tcW w:w="4161" w:type="dxa"/>
          </w:tcPr>
          <w:p>
            <w:pPr>
              <w:pStyle w:val="19"/>
              <w:spacing w:before="214" w:line="261" w:lineRule="auto"/>
              <w:ind w:left="106" w:right="103" w:firstLine="1"/>
              <w:jc w:val="both"/>
            </w:pPr>
            <w:r>
              <w:rPr>
                <w:rFonts w:hint="eastAsia" w:ascii="宋体" w:hAnsi="宋体" w:eastAsia="宋体" w:cs="宋体"/>
                <w:spacing w:val="7"/>
                <w:lang w:eastAsia="zh-CN"/>
              </w:rPr>
              <w:t>支持推广优良品种、先进适用种养技术，实</w:t>
            </w:r>
            <w:r>
              <w:rPr>
                <w:spacing w:val="5"/>
                <w:lang w:eastAsia="zh-CN"/>
              </w:rPr>
              <w:t xml:space="preserve"> </w:t>
            </w:r>
            <w:r>
              <w:rPr>
                <w:rFonts w:hint="eastAsia" w:ascii="宋体" w:hAnsi="宋体" w:eastAsia="宋体" w:cs="宋体"/>
                <w:spacing w:val="4"/>
                <w:lang w:eastAsia="zh-CN"/>
              </w:rPr>
              <w:t>施科学管理</w:t>
            </w:r>
            <w:r>
              <w:rPr>
                <w:spacing w:val="4"/>
                <w:lang w:eastAsia="zh-CN"/>
              </w:rPr>
              <w:t>,</w:t>
            </w:r>
            <w:r>
              <w:rPr>
                <w:rFonts w:hint="eastAsia" w:ascii="宋体" w:hAnsi="宋体" w:eastAsia="宋体" w:cs="宋体"/>
                <w:spacing w:val="4"/>
                <w:lang w:eastAsia="zh-CN"/>
              </w:rPr>
              <w:t>提高农产品产量、质量，提高生</w:t>
            </w:r>
            <w:r>
              <w:rPr>
                <w:spacing w:val="9"/>
                <w:lang w:eastAsia="zh-CN"/>
              </w:rPr>
              <w:t xml:space="preserve"> </w:t>
            </w:r>
            <w:r>
              <w:rPr>
                <w:rFonts w:hint="eastAsia" w:ascii="宋体" w:hAnsi="宋体" w:eastAsia="宋体" w:cs="宋体"/>
                <w:spacing w:val="8"/>
                <w:lang w:eastAsia="zh-CN"/>
              </w:rPr>
              <w:t>产经营效益。</w:t>
            </w:r>
            <w:r>
              <w:rPr>
                <w:rFonts w:hint="eastAsia" w:ascii="宋体" w:hAnsi="宋体" w:eastAsia="宋体" w:cs="宋体"/>
                <w:spacing w:val="8"/>
              </w:rPr>
              <w:t>组织</w:t>
            </w:r>
          </w:p>
        </w:tc>
        <w:tc>
          <w:tcPr>
            <w:tcW w:w="2973" w:type="dxa"/>
          </w:tcPr>
          <w:p>
            <w:pPr>
              <w:pStyle w:val="19"/>
              <w:spacing w:before="67" w:line="260" w:lineRule="auto"/>
              <w:ind w:left="110" w:right="44"/>
              <w:jc w:val="both"/>
              <w:rPr>
                <w:lang w:eastAsia="zh-CN"/>
              </w:rPr>
            </w:pPr>
            <w:r>
              <w:rPr>
                <w:rFonts w:hint="eastAsia" w:ascii="宋体" w:hAnsi="宋体" w:eastAsia="宋体" w:cs="宋体"/>
                <w:spacing w:val="9"/>
                <w:lang w:eastAsia="zh-CN"/>
              </w:rPr>
              <w:t>提高农产品产量和产量，优化</w:t>
            </w:r>
            <w:r>
              <w:rPr>
                <w:lang w:eastAsia="zh-CN"/>
              </w:rPr>
              <w:t xml:space="preserve">  </w:t>
            </w:r>
            <w:r>
              <w:rPr>
                <w:rFonts w:hint="eastAsia" w:ascii="宋体" w:hAnsi="宋体" w:eastAsia="宋体" w:cs="宋体"/>
                <w:lang w:eastAsia="zh-CN"/>
              </w:rPr>
              <w:t>农业产业结构，提高经济效益，</w:t>
            </w:r>
            <w:r>
              <w:rPr>
                <w:spacing w:val="7"/>
                <w:lang w:eastAsia="zh-CN"/>
              </w:rPr>
              <w:t xml:space="preserve"> </w:t>
            </w:r>
            <w:r>
              <w:rPr>
                <w:rFonts w:hint="eastAsia" w:ascii="宋体" w:hAnsi="宋体" w:eastAsia="宋体" w:cs="宋体"/>
                <w:spacing w:val="9"/>
                <w:lang w:eastAsia="zh-CN"/>
              </w:rPr>
              <w:t>增加农民收入。提升农产品附</w:t>
            </w:r>
            <w:r>
              <w:rPr>
                <w:rFonts w:hint="eastAsia" w:ascii="宋体" w:hAnsi="宋体" w:eastAsia="宋体" w:cs="宋体"/>
                <w:spacing w:val="8"/>
                <w:lang w:eastAsia="zh-CN"/>
              </w:rPr>
              <w:t>加值，增加农民收入。</w:t>
            </w:r>
          </w:p>
        </w:tc>
        <w:tc>
          <w:tcPr>
            <w:tcW w:w="661" w:type="dxa"/>
          </w:tcPr>
          <w:p>
            <w:pPr>
              <w:pStyle w:val="19"/>
              <w:spacing w:before="214"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5" w:lineRule="auto"/>
              <w:rPr>
                <w:snapToGrid w:val="0"/>
                <w:color w:val="000000"/>
                <w:lang w:eastAsia="en-US"/>
              </w:rPr>
            </w:pPr>
          </w:p>
          <w:p>
            <w:pPr>
              <w:spacing w:line="246"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9" w:hRule="atLeast"/>
        </w:trPr>
        <w:tc>
          <w:tcPr>
            <w:tcW w:w="1180" w:type="dxa"/>
          </w:tcPr>
          <w:p>
            <w:pPr>
              <w:spacing w:line="299" w:lineRule="auto"/>
              <w:rPr>
                <w:snapToGrid w:val="0"/>
                <w:color w:val="000000"/>
                <w:lang w:eastAsia="en-US"/>
              </w:rPr>
            </w:pPr>
          </w:p>
          <w:p>
            <w:pPr>
              <w:pStyle w:val="19"/>
              <w:spacing w:before="65" w:line="253" w:lineRule="auto"/>
              <w:ind w:left="117" w:right="221" w:hanging="4"/>
            </w:pPr>
            <w:r>
              <w:rPr>
                <w:rFonts w:hint="eastAsia" w:ascii="宋体" w:hAnsi="宋体" w:eastAsia="宋体" w:cs="宋体"/>
                <w:b/>
                <w:bCs/>
                <w:spacing w:val="6"/>
              </w:rPr>
              <w:t>农业事务</w:t>
            </w:r>
            <w:r>
              <w:rPr>
                <w:spacing w:val="1"/>
              </w:rPr>
              <w:t xml:space="preserve"> </w:t>
            </w:r>
            <w:r>
              <w:rPr>
                <w:rFonts w:hint="eastAsia" w:ascii="宋体" w:hAnsi="宋体" w:eastAsia="宋体" w:cs="宋体"/>
                <w:b/>
                <w:bCs/>
                <w:spacing w:val="1"/>
              </w:rPr>
              <w:t>管理</w:t>
            </w:r>
          </w:p>
        </w:tc>
        <w:tc>
          <w:tcPr>
            <w:tcW w:w="4161" w:type="dxa"/>
          </w:tcPr>
          <w:p>
            <w:pPr>
              <w:pStyle w:val="19"/>
              <w:spacing w:before="217" w:line="261" w:lineRule="auto"/>
              <w:ind w:left="109" w:right="103"/>
              <w:jc w:val="both"/>
              <w:rPr>
                <w:lang w:eastAsia="zh-CN"/>
              </w:rPr>
            </w:pPr>
            <w:r>
              <w:rPr>
                <w:rFonts w:hint="eastAsia" w:ascii="宋体" w:hAnsi="宋体" w:eastAsia="宋体" w:cs="宋体"/>
                <w:spacing w:val="7"/>
                <w:lang w:eastAsia="zh-CN"/>
              </w:rPr>
              <w:t>按上级要求做好良种补贴工作的测算、登记</w:t>
            </w:r>
            <w:r>
              <w:rPr>
                <w:spacing w:val="1"/>
                <w:lang w:eastAsia="zh-CN"/>
              </w:rPr>
              <w:t xml:space="preserve"> </w:t>
            </w:r>
            <w:r>
              <w:rPr>
                <w:rFonts w:hint="eastAsia" w:ascii="宋体" w:hAnsi="宋体" w:eastAsia="宋体" w:cs="宋体"/>
                <w:spacing w:val="7"/>
                <w:lang w:eastAsia="zh-CN"/>
              </w:rPr>
              <w:t>工作；农村能源清洁开发利用；农作物种子</w:t>
            </w:r>
            <w:r>
              <w:rPr>
                <w:spacing w:val="3"/>
                <w:lang w:eastAsia="zh-CN"/>
              </w:rPr>
              <w:t xml:space="preserve"> </w:t>
            </w:r>
            <w:r>
              <w:rPr>
                <w:rFonts w:hint="eastAsia" w:ascii="宋体" w:hAnsi="宋体" w:eastAsia="宋体" w:cs="宋体"/>
                <w:spacing w:val="8"/>
                <w:lang w:eastAsia="zh-CN"/>
              </w:rPr>
              <w:t>鉴定与推广；畜牧良种</w:t>
            </w:r>
          </w:p>
        </w:tc>
        <w:tc>
          <w:tcPr>
            <w:tcW w:w="2973" w:type="dxa"/>
          </w:tcPr>
          <w:p>
            <w:pPr>
              <w:pStyle w:val="19"/>
              <w:spacing w:before="67" w:line="261" w:lineRule="auto"/>
              <w:ind w:left="110" w:right="44"/>
              <w:jc w:val="both"/>
              <w:rPr>
                <w:lang w:eastAsia="zh-CN"/>
              </w:rPr>
            </w:pPr>
            <w:r>
              <w:rPr>
                <w:rFonts w:hint="eastAsia" w:ascii="宋体" w:hAnsi="宋体" w:eastAsia="宋体" w:cs="宋体"/>
                <w:spacing w:val="9"/>
                <w:lang w:eastAsia="zh-CN"/>
              </w:rPr>
              <w:t>提高农产品产量和质量，优化</w:t>
            </w:r>
            <w:r>
              <w:rPr>
                <w:lang w:eastAsia="zh-CN"/>
              </w:rPr>
              <w:t xml:space="preserve">  </w:t>
            </w:r>
            <w:r>
              <w:rPr>
                <w:rFonts w:hint="eastAsia" w:ascii="宋体" w:hAnsi="宋体" w:eastAsia="宋体" w:cs="宋体"/>
                <w:lang w:eastAsia="zh-CN"/>
              </w:rPr>
              <w:t>农业产业结构，提高经济效益，</w:t>
            </w:r>
            <w:r>
              <w:rPr>
                <w:rFonts w:hint="eastAsia" w:ascii="宋体" w:hAnsi="宋体" w:eastAsia="宋体" w:cs="宋体"/>
                <w:spacing w:val="9"/>
                <w:lang w:eastAsia="zh-CN"/>
              </w:rPr>
              <w:t>增加农民收入，保障各项农业</w:t>
            </w:r>
            <w:r>
              <w:rPr>
                <w:rFonts w:hint="eastAsia" w:ascii="宋体" w:hAnsi="宋体" w:eastAsia="宋体" w:cs="宋体"/>
                <w:spacing w:val="7"/>
                <w:lang w:eastAsia="zh-CN"/>
              </w:rPr>
              <w:t>工作的正常运行。</w:t>
            </w:r>
          </w:p>
        </w:tc>
        <w:tc>
          <w:tcPr>
            <w:tcW w:w="661" w:type="dxa"/>
          </w:tcPr>
          <w:p>
            <w:pPr>
              <w:pStyle w:val="19"/>
              <w:spacing w:before="217"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6" w:lineRule="auto"/>
              <w:rPr>
                <w:snapToGrid w:val="0"/>
                <w:color w:val="000000"/>
                <w:lang w:eastAsia="en-US"/>
              </w:rPr>
            </w:pPr>
          </w:p>
          <w:p>
            <w:pPr>
              <w:spacing w:line="247"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bl>
    <w:p/>
    <w:p>
      <w:pPr>
        <w:sectPr>
          <w:pgSz w:w="11906" w:h="16839"/>
          <w:pgMar w:top="1431" w:right="1009" w:bottom="0" w:left="1009" w:header="0" w:footer="0" w:gutter="0"/>
          <w:cols w:space="720" w:num="1"/>
        </w:sectPr>
      </w:pPr>
    </w:p>
    <w:p>
      <w:pPr>
        <w:spacing w:before="63"/>
      </w:pPr>
    </w:p>
    <w:p>
      <w:pPr>
        <w:spacing w:before="63"/>
      </w:pPr>
    </w:p>
    <w:tbl>
      <w:tblPr>
        <w:tblStyle w:val="18"/>
        <w:tblW w:w="987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0"/>
        <w:gridCol w:w="4161"/>
        <w:gridCol w:w="2973"/>
        <w:gridCol w:w="661"/>
        <w:gridCol w:w="9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1180" w:type="dxa"/>
          </w:tcPr>
          <w:p>
            <w:pPr>
              <w:spacing w:line="297" w:lineRule="auto"/>
              <w:rPr>
                <w:snapToGrid w:val="0"/>
                <w:color w:val="000000"/>
                <w:lang w:eastAsia="en-US"/>
              </w:rPr>
            </w:pPr>
          </w:p>
          <w:p>
            <w:pPr>
              <w:pStyle w:val="19"/>
              <w:spacing w:before="65" w:line="253" w:lineRule="auto"/>
              <w:ind w:left="117" w:right="221" w:hanging="3"/>
            </w:pPr>
            <w:r>
              <w:rPr>
                <w:rFonts w:hint="eastAsia" w:ascii="宋体" w:hAnsi="宋体" w:eastAsia="宋体" w:cs="宋体"/>
                <w:b/>
                <w:bCs/>
                <w:spacing w:val="6"/>
              </w:rPr>
              <w:t>林业事务</w:t>
            </w:r>
            <w:r>
              <w:t xml:space="preserve"> </w:t>
            </w:r>
            <w:r>
              <w:rPr>
                <w:rFonts w:hint="eastAsia" w:ascii="宋体" w:hAnsi="宋体" w:eastAsia="宋体" w:cs="宋体"/>
                <w:b/>
                <w:bCs/>
                <w:spacing w:val="1"/>
              </w:rPr>
              <w:t>管理</w:t>
            </w:r>
          </w:p>
        </w:tc>
        <w:tc>
          <w:tcPr>
            <w:tcW w:w="4161" w:type="dxa"/>
          </w:tcPr>
          <w:p>
            <w:pPr>
              <w:pStyle w:val="19"/>
              <w:spacing w:before="64" w:line="262" w:lineRule="auto"/>
              <w:ind w:left="106" w:right="31"/>
              <w:jc w:val="both"/>
            </w:pPr>
            <w:r>
              <w:rPr>
                <w:rFonts w:hint="eastAsia" w:ascii="宋体" w:hAnsi="宋体" w:eastAsia="宋体" w:cs="宋体"/>
                <w:spacing w:val="6"/>
                <w:lang w:eastAsia="zh-CN"/>
              </w:rPr>
              <w:t>做好造林绿化、森林抚育、防沙治沙、退耕</w:t>
            </w:r>
            <w:r>
              <w:rPr>
                <w:spacing w:val="6"/>
                <w:lang w:eastAsia="zh-CN"/>
              </w:rPr>
              <w:t xml:space="preserve"> </w:t>
            </w:r>
            <w:r>
              <w:rPr>
                <w:rFonts w:hint="eastAsia" w:ascii="宋体" w:hAnsi="宋体" w:eastAsia="宋体" w:cs="宋体"/>
                <w:spacing w:val="6"/>
                <w:lang w:eastAsia="zh-CN"/>
              </w:rPr>
              <w:t>还林工作，支持现代果品业发展，支持林业</w:t>
            </w:r>
            <w:r>
              <w:rPr>
                <w:spacing w:val="6"/>
                <w:lang w:eastAsia="zh-CN"/>
              </w:rPr>
              <w:t xml:space="preserve"> </w:t>
            </w:r>
            <w:r>
              <w:rPr>
                <w:rFonts w:hint="eastAsia" w:ascii="宋体" w:hAnsi="宋体" w:eastAsia="宋体" w:cs="宋体"/>
                <w:spacing w:val="6"/>
                <w:lang w:eastAsia="zh-CN"/>
              </w:rPr>
              <w:t>产业发展；林业防灾减灾；林业科研推广森</w:t>
            </w:r>
            <w:r>
              <w:rPr>
                <w:spacing w:val="6"/>
                <w:lang w:eastAsia="zh-CN"/>
              </w:rPr>
              <w:t xml:space="preserve"> </w:t>
            </w:r>
            <w:r>
              <w:rPr>
                <w:rFonts w:hint="eastAsia" w:ascii="宋体" w:hAnsi="宋体" w:eastAsia="宋体" w:cs="宋体"/>
                <w:lang w:eastAsia="zh-CN"/>
              </w:rPr>
              <w:t>林资源管理。</w:t>
            </w:r>
            <w:r>
              <w:rPr>
                <w:rFonts w:hint="eastAsia" w:ascii="宋体" w:hAnsi="宋体" w:eastAsia="宋体" w:cs="宋体"/>
              </w:rPr>
              <w:t>做好防火工作。其他日常工作。</w:t>
            </w:r>
          </w:p>
        </w:tc>
        <w:tc>
          <w:tcPr>
            <w:tcW w:w="2973" w:type="dxa"/>
          </w:tcPr>
          <w:p>
            <w:pPr>
              <w:spacing w:line="448" w:lineRule="auto"/>
              <w:rPr>
                <w:snapToGrid w:val="0"/>
                <w:color w:val="000000"/>
                <w:lang w:eastAsia="en-US"/>
              </w:rPr>
            </w:pPr>
          </w:p>
          <w:p>
            <w:pPr>
              <w:pStyle w:val="19"/>
              <w:spacing w:before="65" w:line="228" w:lineRule="auto"/>
              <w:ind w:left="112"/>
            </w:pPr>
            <w:r>
              <w:rPr>
                <w:rFonts w:hint="eastAsia" w:ascii="宋体" w:hAnsi="宋体" w:eastAsia="宋体" w:cs="宋体"/>
                <w:spacing w:val="8"/>
              </w:rPr>
              <w:t>按要求完成各项工作</w:t>
            </w:r>
          </w:p>
        </w:tc>
        <w:tc>
          <w:tcPr>
            <w:tcW w:w="661" w:type="dxa"/>
          </w:tcPr>
          <w:p>
            <w:pPr>
              <w:pStyle w:val="19"/>
              <w:spacing w:before="21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5" w:lineRule="auto"/>
              <w:rPr>
                <w:snapToGrid w:val="0"/>
                <w:color w:val="000000"/>
                <w:lang w:eastAsia="en-US"/>
              </w:rPr>
            </w:pPr>
          </w:p>
          <w:p>
            <w:pPr>
              <w:spacing w:line="246"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5" w:hRule="atLeast"/>
        </w:trPr>
        <w:tc>
          <w:tcPr>
            <w:tcW w:w="1180" w:type="dxa"/>
          </w:tcPr>
          <w:p>
            <w:pPr>
              <w:spacing w:line="339" w:lineRule="auto"/>
              <w:rPr>
                <w:snapToGrid w:val="0"/>
                <w:color w:val="000000"/>
                <w:lang w:eastAsia="en-US"/>
              </w:rPr>
            </w:pPr>
          </w:p>
          <w:p>
            <w:pPr>
              <w:pStyle w:val="19"/>
              <w:spacing w:before="65" w:line="253" w:lineRule="auto"/>
              <w:ind w:left="117" w:right="221" w:hanging="1"/>
            </w:pPr>
            <w:r>
              <w:rPr>
                <w:rFonts w:hint="eastAsia" w:ascii="宋体" w:hAnsi="宋体" w:eastAsia="宋体" w:cs="宋体"/>
                <w:b/>
                <w:bCs/>
                <w:spacing w:val="5"/>
              </w:rPr>
              <w:t>水利事务</w:t>
            </w:r>
            <w:r>
              <w:rPr>
                <w:spacing w:val="2"/>
              </w:rPr>
              <w:t xml:space="preserve"> </w:t>
            </w:r>
            <w:r>
              <w:rPr>
                <w:rFonts w:hint="eastAsia" w:ascii="宋体" w:hAnsi="宋体" w:eastAsia="宋体" w:cs="宋体"/>
                <w:b/>
                <w:bCs/>
                <w:spacing w:val="1"/>
              </w:rPr>
              <w:t>管理</w:t>
            </w:r>
          </w:p>
        </w:tc>
        <w:tc>
          <w:tcPr>
            <w:tcW w:w="4161" w:type="dxa"/>
          </w:tcPr>
          <w:p>
            <w:pPr>
              <w:pStyle w:val="19"/>
              <w:spacing w:before="107" w:line="265" w:lineRule="auto"/>
              <w:ind w:left="107" w:right="103"/>
            </w:pPr>
            <w:r>
              <w:rPr>
                <w:rFonts w:hint="eastAsia" w:ascii="宋体" w:hAnsi="宋体" w:eastAsia="宋体" w:cs="宋体"/>
                <w:spacing w:val="7"/>
                <w:lang w:eastAsia="zh-CN"/>
              </w:rPr>
              <w:t>做好农田水利建设、水土保持工作；保障农</w:t>
            </w:r>
            <w:r>
              <w:rPr>
                <w:spacing w:val="6"/>
                <w:lang w:eastAsia="zh-CN"/>
              </w:rPr>
              <w:t xml:space="preserve"> </w:t>
            </w:r>
            <w:r>
              <w:rPr>
                <w:rFonts w:hint="eastAsia" w:ascii="宋体" w:hAnsi="宋体" w:eastAsia="宋体" w:cs="宋体"/>
                <w:spacing w:val="7"/>
                <w:lang w:eastAsia="zh-CN"/>
              </w:rPr>
              <w:t>村饮水安全；农村水电建设与水资源管理；</w:t>
            </w:r>
            <w:r>
              <w:rPr>
                <w:spacing w:val="5"/>
                <w:lang w:eastAsia="zh-CN"/>
              </w:rPr>
              <w:t xml:space="preserve"> </w:t>
            </w:r>
            <w:r>
              <w:rPr>
                <w:rFonts w:hint="eastAsia" w:ascii="宋体" w:hAnsi="宋体" w:eastAsia="宋体" w:cs="宋体"/>
                <w:spacing w:val="7"/>
                <w:lang w:eastAsia="zh-CN"/>
              </w:rPr>
              <w:t>防汛抗旱；水库移民安置及后期管理的相关</w:t>
            </w:r>
            <w:r>
              <w:rPr>
                <w:spacing w:val="2"/>
                <w:lang w:eastAsia="zh-CN"/>
              </w:rPr>
              <w:t xml:space="preserve"> </w:t>
            </w:r>
            <w:r>
              <w:rPr>
                <w:rFonts w:hint="eastAsia" w:ascii="宋体" w:hAnsi="宋体" w:eastAsia="宋体" w:cs="宋体"/>
                <w:spacing w:val="7"/>
                <w:lang w:eastAsia="zh-CN"/>
              </w:rPr>
              <w:t>工作。</w:t>
            </w:r>
            <w:r>
              <w:rPr>
                <w:rFonts w:hint="eastAsia" w:ascii="宋体" w:hAnsi="宋体" w:eastAsia="宋体" w:cs="宋体"/>
                <w:spacing w:val="7"/>
              </w:rPr>
              <w:t>其他日常工作。</w:t>
            </w:r>
          </w:p>
        </w:tc>
        <w:tc>
          <w:tcPr>
            <w:tcW w:w="2973" w:type="dxa"/>
          </w:tcPr>
          <w:p>
            <w:pPr>
              <w:spacing w:line="244" w:lineRule="auto"/>
              <w:rPr>
                <w:snapToGrid w:val="0"/>
                <w:color w:val="000000"/>
                <w:lang w:eastAsia="en-US"/>
              </w:rPr>
            </w:pPr>
          </w:p>
          <w:p>
            <w:pPr>
              <w:spacing w:line="244" w:lineRule="auto"/>
              <w:rPr>
                <w:snapToGrid w:val="0"/>
                <w:color w:val="000000"/>
                <w:lang w:eastAsia="en-US"/>
              </w:rPr>
            </w:pPr>
          </w:p>
          <w:p>
            <w:pPr>
              <w:pStyle w:val="19"/>
              <w:spacing w:before="65" w:line="228" w:lineRule="auto"/>
              <w:ind w:left="112"/>
            </w:pPr>
            <w:r>
              <w:rPr>
                <w:rFonts w:hint="eastAsia" w:ascii="宋体" w:hAnsi="宋体" w:eastAsia="宋体" w:cs="宋体"/>
                <w:spacing w:val="8"/>
              </w:rPr>
              <w:t>按要求完成各项工作</w:t>
            </w:r>
          </w:p>
        </w:tc>
        <w:tc>
          <w:tcPr>
            <w:tcW w:w="661" w:type="dxa"/>
          </w:tcPr>
          <w:p>
            <w:pPr>
              <w:pStyle w:val="19"/>
              <w:spacing w:before="255"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65" w:lineRule="auto"/>
              <w:rPr>
                <w:snapToGrid w:val="0"/>
                <w:color w:val="000000"/>
                <w:lang w:eastAsia="en-US"/>
              </w:rPr>
            </w:pPr>
          </w:p>
          <w:p>
            <w:pPr>
              <w:spacing w:line="266"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1180" w:type="dxa"/>
          </w:tcPr>
          <w:p>
            <w:pPr>
              <w:spacing w:line="294" w:lineRule="auto"/>
              <w:rPr>
                <w:snapToGrid w:val="0"/>
                <w:color w:val="000000"/>
                <w:lang w:eastAsia="en-US"/>
              </w:rPr>
            </w:pPr>
          </w:p>
          <w:p>
            <w:pPr>
              <w:pStyle w:val="19"/>
              <w:spacing w:before="65" w:line="253" w:lineRule="auto"/>
              <w:ind w:left="120" w:right="221" w:hanging="7"/>
            </w:pPr>
            <w:r>
              <w:rPr>
                <w:rFonts w:hint="eastAsia" w:ascii="宋体" w:hAnsi="宋体" w:eastAsia="宋体" w:cs="宋体"/>
                <w:b/>
                <w:bCs/>
                <w:spacing w:val="6"/>
              </w:rPr>
              <w:t>农村综合</w:t>
            </w:r>
            <w:r>
              <w:rPr>
                <w:spacing w:val="1"/>
              </w:rPr>
              <w:t xml:space="preserve"> </w:t>
            </w:r>
            <w:r>
              <w:rPr>
                <w:rFonts w:hint="eastAsia" w:ascii="宋体" w:hAnsi="宋体" w:eastAsia="宋体" w:cs="宋体"/>
                <w:b/>
                <w:bCs/>
              </w:rPr>
              <w:t>改革</w:t>
            </w:r>
          </w:p>
        </w:tc>
        <w:tc>
          <w:tcPr>
            <w:tcW w:w="4161" w:type="dxa"/>
          </w:tcPr>
          <w:p>
            <w:pPr>
              <w:pStyle w:val="19"/>
              <w:spacing w:before="60" w:line="261" w:lineRule="auto"/>
              <w:ind w:left="107" w:right="103" w:firstLine="8"/>
              <w:rPr>
                <w:lang w:eastAsia="zh-CN"/>
              </w:rPr>
            </w:pPr>
            <w:r>
              <w:rPr>
                <w:rFonts w:hint="eastAsia" w:ascii="宋体" w:hAnsi="宋体" w:eastAsia="宋体" w:cs="宋体"/>
                <w:spacing w:val="6"/>
                <w:lang w:eastAsia="zh-CN"/>
              </w:rPr>
              <w:t>负责指导和推动本乡村级公益事业建设、一</w:t>
            </w:r>
            <w:r>
              <w:rPr>
                <w:spacing w:val="16"/>
                <w:lang w:eastAsia="zh-CN"/>
              </w:rPr>
              <w:t xml:space="preserve"> </w:t>
            </w:r>
            <w:r>
              <w:rPr>
                <w:rFonts w:hint="eastAsia" w:ascii="宋体" w:hAnsi="宋体" w:eastAsia="宋体" w:cs="宋体"/>
                <w:spacing w:val="7"/>
                <w:lang w:eastAsia="zh-CN"/>
              </w:rPr>
              <w:t>事一议财政奖补、农村公共服务运行维护机</w:t>
            </w:r>
            <w:r>
              <w:rPr>
                <w:spacing w:val="5"/>
                <w:lang w:eastAsia="zh-CN"/>
              </w:rPr>
              <w:t xml:space="preserve"> </w:t>
            </w:r>
            <w:r>
              <w:rPr>
                <w:rFonts w:hint="eastAsia" w:ascii="宋体" w:hAnsi="宋体" w:eastAsia="宋体" w:cs="宋体"/>
                <w:spacing w:val="7"/>
                <w:lang w:eastAsia="zh-CN"/>
              </w:rPr>
              <w:t>制建设试点、化解乡村公益性债务等工作，</w:t>
            </w:r>
            <w:r>
              <w:rPr>
                <w:spacing w:val="6"/>
                <w:lang w:eastAsia="zh-CN"/>
              </w:rPr>
              <w:t xml:space="preserve"> </w:t>
            </w:r>
            <w:r>
              <w:rPr>
                <w:rFonts w:hint="eastAsia" w:ascii="宋体" w:hAnsi="宋体" w:eastAsia="宋体" w:cs="宋体"/>
                <w:spacing w:val="7"/>
                <w:lang w:eastAsia="zh-CN"/>
              </w:rPr>
              <w:t>其它日常工作。</w:t>
            </w:r>
          </w:p>
        </w:tc>
        <w:tc>
          <w:tcPr>
            <w:tcW w:w="2973" w:type="dxa"/>
          </w:tcPr>
          <w:p>
            <w:pPr>
              <w:spacing w:line="446" w:lineRule="auto"/>
              <w:rPr>
                <w:snapToGrid w:val="0"/>
                <w:color w:val="000000"/>
                <w:lang w:eastAsia="zh-CN"/>
              </w:rPr>
            </w:pPr>
          </w:p>
          <w:p>
            <w:pPr>
              <w:pStyle w:val="19"/>
              <w:spacing w:before="65" w:line="228" w:lineRule="auto"/>
              <w:ind w:left="112"/>
            </w:pPr>
            <w:r>
              <w:rPr>
                <w:rFonts w:hint="eastAsia" w:ascii="宋体" w:hAnsi="宋体" w:eastAsia="宋体" w:cs="宋体"/>
                <w:spacing w:val="8"/>
              </w:rPr>
              <w:t>按要求完成各项工作</w:t>
            </w:r>
          </w:p>
        </w:tc>
        <w:tc>
          <w:tcPr>
            <w:tcW w:w="661" w:type="dxa"/>
          </w:tcPr>
          <w:p>
            <w:pPr>
              <w:pStyle w:val="19"/>
              <w:spacing w:before="212" w:line="261"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244" w:lineRule="auto"/>
              <w:rPr>
                <w:snapToGrid w:val="0"/>
                <w:color w:val="000000"/>
                <w:lang w:eastAsia="en-US"/>
              </w:rPr>
            </w:pPr>
          </w:p>
          <w:p>
            <w:pPr>
              <w:spacing w:line="244" w:lineRule="auto"/>
              <w:rPr>
                <w:snapToGrid w:val="0"/>
                <w:color w:val="000000"/>
                <w:lang w:eastAsia="en-US"/>
              </w:rPr>
            </w:pPr>
          </w:p>
          <w:p>
            <w:pPr>
              <w:spacing w:before="58"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0" w:hRule="atLeast"/>
        </w:trPr>
        <w:tc>
          <w:tcPr>
            <w:tcW w:w="1180" w:type="dxa"/>
          </w:tcPr>
          <w:p>
            <w:pPr>
              <w:spacing w:line="300" w:lineRule="auto"/>
              <w:rPr>
                <w:snapToGrid w:val="0"/>
                <w:color w:val="000000"/>
                <w:lang w:eastAsia="en-US"/>
              </w:rPr>
            </w:pPr>
          </w:p>
          <w:p>
            <w:pPr>
              <w:pStyle w:val="19"/>
              <w:spacing w:before="65" w:line="229" w:lineRule="auto"/>
              <w:ind w:left="169"/>
            </w:pPr>
            <w:r>
              <w:rPr>
                <w:rFonts w:hint="eastAsia" w:ascii="宋体" w:hAnsi="宋体" w:eastAsia="宋体" w:cs="宋体"/>
                <w:b/>
                <w:bCs/>
                <w:spacing w:val="6"/>
              </w:rPr>
              <w:t>环境整治</w:t>
            </w:r>
          </w:p>
        </w:tc>
        <w:tc>
          <w:tcPr>
            <w:tcW w:w="4161" w:type="dxa"/>
          </w:tcPr>
          <w:p>
            <w:pPr>
              <w:pStyle w:val="19"/>
              <w:spacing w:before="67" w:line="256" w:lineRule="auto"/>
              <w:ind w:left="107" w:right="103" w:firstLine="2"/>
              <w:jc w:val="both"/>
            </w:pPr>
            <w:r>
              <w:rPr>
                <w:rFonts w:hint="eastAsia" w:ascii="宋体" w:hAnsi="宋体" w:eastAsia="宋体" w:cs="宋体"/>
                <w:spacing w:val="7"/>
                <w:lang w:eastAsia="zh-CN"/>
              </w:rPr>
              <w:t>组织实施农村环境整治相关工作，加大农村</w:t>
            </w:r>
            <w:r>
              <w:rPr>
                <w:spacing w:val="1"/>
                <w:lang w:eastAsia="zh-CN"/>
              </w:rPr>
              <w:t xml:space="preserve"> </w:t>
            </w:r>
            <w:r>
              <w:rPr>
                <w:rFonts w:hint="eastAsia" w:ascii="宋体" w:hAnsi="宋体" w:eastAsia="宋体" w:cs="宋体"/>
                <w:spacing w:val="7"/>
                <w:lang w:eastAsia="zh-CN"/>
              </w:rPr>
              <w:t>基础设施建设，改善村容村貌，形成长效机</w:t>
            </w:r>
            <w:r>
              <w:rPr>
                <w:spacing w:val="6"/>
                <w:lang w:eastAsia="zh-CN"/>
              </w:rPr>
              <w:t xml:space="preserve"> </w:t>
            </w:r>
            <w:r>
              <w:rPr>
                <w:rFonts w:hint="eastAsia" w:ascii="宋体" w:hAnsi="宋体" w:eastAsia="宋体" w:cs="宋体"/>
                <w:spacing w:val="7"/>
                <w:lang w:eastAsia="zh-CN"/>
              </w:rPr>
              <w:t>制。</w:t>
            </w:r>
            <w:r>
              <w:rPr>
                <w:rFonts w:hint="eastAsia" w:ascii="宋体" w:hAnsi="宋体" w:eastAsia="宋体" w:cs="宋体"/>
                <w:spacing w:val="7"/>
              </w:rPr>
              <w:t>其他日常工作。</w:t>
            </w:r>
          </w:p>
        </w:tc>
        <w:tc>
          <w:tcPr>
            <w:tcW w:w="2973" w:type="dxa"/>
          </w:tcPr>
          <w:p>
            <w:pPr>
              <w:pStyle w:val="19"/>
              <w:spacing w:before="215" w:line="253" w:lineRule="auto"/>
              <w:ind w:left="112" w:right="131" w:firstLine="4"/>
              <w:rPr>
                <w:lang w:eastAsia="zh-CN"/>
              </w:rPr>
            </w:pPr>
            <w:r>
              <w:rPr>
                <w:rFonts w:hint="eastAsia" w:ascii="宋体" w:hAnsi="宋体" w:eastAsia="宋体" w:cs="宋体"/>
                <w:spacing w:val="8"/>
                <w:lang w:eastAsia="zh-CN"/>
              </w:rPr>
              <w:t>营造干净、整治、文明的生产</w:t>
            </w:r>
            <w:r>
              <w:rPr>
                <w:spacing w:val="9"/>
                <w:lang w:eastAsia="zh-CN"/>
              </w:rPr>
              <w:t xml:space="preserve"> </w:t>
            </w:r>
            <w:r>
              <w:rPr>
                <w:rFonts w:hint="eastAsia" w:ascii="宋体" w:hAnsi="宋体" w:eastAsia="宋体" w:cs="宋体"/>
                <w:spacing w:val="6"/>
                <w:lang w:eastAsia="zh-CN"/>
              </w:rPr>
              <w:t>生活环境</w:t>
            </w:r>
          </w:p>
        </w:tc>
        <w:tc>
          <w:tcPr>
            <w:tcW w:w="661" w:type="dxa"/>
          </w:tcPr>
          <w:p>
            <w:pPr>
              <w:pStyle w:val="19"/>
              <w:spacing w:before="67" w:line="256" w:lineRule="auto"/>
              <w:ind w:left="115" w:right="127"/>
              <w:jc w:val="both"/>
            </w:pPr>
            <w:r>
              <w:rPr>
                <w:rFonts w:hint="eastAsia" w:ascii="宋体" w:hAnsi="宋体" w:eastAsia="宋体" w:cs="宋体"/>
                <w:spacing w:val="3"/>
              </w:rPr>
              <w:t>工作</w:t>
            </w:r>
            <w:r>
              <w:t xml:space="preserve"> </w:t>
            </w:r>
            <w:r>
              <w:rPr>
                <w:rFonts w:hint="eastAsia" w:ascii="宋体" w:hAnsi="宋体" w:eastAsia="宋体" w:cs="宋体"/>
                <w:spacing w:val="3"/>
              </w:rPr>
              <w:t>完成</w:t>
            </w:r>
            <w:r>
              <w:t xml:space="preserve"> </w:t>
            </w:r>
            <w:r>
              <w:rPr>
                <w:rFonts w:hint="eastAsia" w:ascii="宋体" w:hAnsi="宋体" w:eastAsia="宋体" w:cs="宋体"/>
              </w:rPr>
              <w:t>率</w:t>
            </w:r>
          </w:p>
        </w:tc>
        <w:tc>
          <w:tcPr>
            <w:tcW w:w="901" w:type="dxa"/>
          </w:tcPr>
          <w:p>
            <w:pPr>
              <w:spacing w:line="343" w:lineRule="auto"/>
              <w:rPr>
                <w:snapToGrid w:val="0"/>
                <w:color w:val="000000"/>
                <w:lang w:eastAsia="en-US"/>
              </w:rPr>
            </w:pPr>
          </w:p>
          <w:p>
            <w:pPr>
              <w:spacing w:before="57" w:line="195" w:lineRule="auto"/>
              <w:ind w:left="350"/>
              <w:rPr>
                <w:rFonts w:ascii="Times New Roman" w:hAnsi="Times New Roman" w:eastAsia="Times New Roman" w:cs="Times New Roman"/>
                <w:snapToGrid w:val="0"/>
                <w:color w:val="000000"/>
                <w:sz w:val="20"/>
                <w:szCs w:val="20"/>
                <w:lang w:eastAsia="en-US"/>
              </w:rPr>
            </w:pPr>
            <w:r>
              <w:rPr>
                <w:rFonts w:ascii="Times New Roman" w:hAnsi="Times New Roman" w:eastAsia="Times New Roman" w:cs="Times New Roman"/>
                <w:snapToGrid w:val="0"/>
                <w:color w:val="000000"/>
                <w:sz w:val="20"/>
                <w:szCs w:val="20"/>
                <w:lang w:eastAsia="en-US"/>
              </w:rPr>
              <w:t>90</w:t>
            </w:r>
          </w:p>
        </w:tc>
      </w:tr>
    </w:tbl>
    <w:p>
      <w:pPr>
        <w:spacing w:line="207" w:lineRule="auto"/>
        <w:rPr>
          <w:rFonts w:ascii="微软雅黑" w:hAnsi="微软雅黑" w:cs="微软雅黑"/>
          <w:sz w:val="32"/>
          <w:szCs w:val="32"/>
        </w:rPr>
        <w:sectPr>
          <w:pgSz w:w="11900" w:h="16820"/>
          <w:pgMar w:top="400" w:right="1250" w:bottom="400" w:left="1539" w:header="0" w:footer="0" w:gutter="0"/>
          <w:cols w:space="720" w:num="1"/>
        </w:sectPr>
      </w:pPr>
    </w:p>
    <w:p>
      <w:pPr>
        <w:numPr>
          <w:ilvl w:val="0"/>
          <w:numId w:val="0"/>
        </w:numPr>
        <w:adjustRightInd w:val="0"/>
        <w:snapToGrid w:val="0"/>
        <w:spacing w:line="580" w:lineRule="exact"/>
        <w:ind w:left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）部门评价项目绩效评价结果</w:t>
      </w:r>
    </w:p>
    <w:p>
      <w:pPr>
        <w:numPr>
          <w:ilvl w:val="0"/>
          <w:numId w:val="0"/>
        </w:numPr>
        <w:adjustRightInd w:val="0"/>
        <w:snapToGrid w:val="0"/>
        <w:spacing w:line="580" w:lineRule="exact"/>
        <w:ind w:leftChars="200" w:firstLine="320" w:firstLineChars="100"/>
        <w:rPr>
          <w:rFonts w:hint="eastAsia" w:ascii="仿宋_GB2312" w:hAnsi="仿宋_GB2312" w:eastAsia="仿宋_GB2312" w:cs="仿宋_GB2312"/>
          <w:b/>
          <w:bCs/>
          <w:sz w:val="32"/>
          <w:szCs w:val="32"/>
        </w:rPr>
      </w:pPr>
      <w:r>
        <w:rPr>
          <w:rFonts w:ascii="仿宋_GB2312" w:hAnsi="仿宋_GB2312" w:eastAsia="仿宋_GB2312" w:cs="仿宋_GB2312"/>
          <w:bCs/>
          <w:sz w:val="32"/>
          <w:szCs w:val="32"/>
        </w:rPr>
        <w:t>本部门 2022 年度无重点项目</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1. </w:t>
      </w:r>
      <w:r>
        <w:rPr>
          <w:rFonts w:ascii="仿宋_GB2312" w:hAnsi="Times New Roman" w:eastAsia="仿宋_GB2312" w:cs="DengXian-Regular"/>
          <w:sz w:val="32"/>
          <w:szCs w:val="32"/>
        </w:rPr>
        <w:t xml:space="preserve">本部门 </w:t>
      </w:r>
      <w:r>
        <w:rPr>
          <w:rFonts w:hint="eastAsia" w:ascii="仿宋_GB2312" w:hAnsi="Times New Roman" w:eastAsia="仿宋_GB2312" w:cs="DengXian-Regular"/>
          <w:sz w:val="32"/>
          <w:szCs w:val="32"/>
          <w:lang w:val="en-US" w:eastAsia="zh-CN"/>
        </w:rPr>
        <w:t>2023</w:t>
      </w:r>
      <w:r>
        <w:rPr>
          <w:rFonts w:ascii="仿宋_GB2312" w:hAnsi="Times New Roman" w:eastAsia="仿宋_GB2312" w:cs="DengXian-Regular"/>
          <w:sz w:val="32"/>
          <w:szCs w:val="32"/>
        </w:rPr>
        <w:t>年度一般公共预算财政拨款“三公”经费支 出与</w:t>
      </w:r>
      <w:r>
        <w:rPr>
          <w:rFonts w:hint="eastAsia" w:ascii="仿宋_GB2312" w:hAnsi="Times New Roman" w:eastAsia="仿宋_GB2312" w:cs="DengXian-Regular"/>
          <w:sz w:val="32"/>
          <w:szCs w:val="32"/>
        </w:rPr>
        <w:t>政府性基金预算财政拨款</w:t>
      </w:r>
      <w:r>
        <w:rPr>
          <w:rFonts w:ascii="仿宋_GB2312" w:hAnsi="Times New Roman" w:eastAsia="仿宋_GB2312" w:cs="DengXian-Regular"/>
          <w:sz w:val="32"/>
          <w:szCs w:val="32"/>
        </w:rPr>
        <w:t>无支出情况，故一般公共预算财 政拨款“三公”经费支出决算表和</w:t>
      </w:r>
      <w:r>
        <w:rPr>
          <w:rFonts w:hint="eastAsia" w:ascii="仿宋_GB2312" w:hAnsi="Times New Roman" w:eastAsia="仿宋_GB2312" w:cs="DengXian-Regular"/>
          <w:sz w:val="32"/>
          <w:szCs w:val="32"/>
        </w:rPr>
        <w:t>政府性基金预算财政拨款</w:t>
      </w:r>
      <w:r>
        <w:rPr>
          <w:rFonts w:ascii="仿宋_GB2312" w:hAnsi="Times New Roman" w:eastAsia="仿宋_GB2312" w:cs="DengXian-Regular"/>
          <w:sz w:val="32"/>
          <w:szCs w:val="32"/>
        </w:rPr>
        <w:t>支出决算表以空表列示。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名词解释</w:t>
      </w:r>
    </w:p>
    <w:p>
      <w:pPr>
        <w:rPr>
          <w:rFonts w:ascii="仿宋_GB2312" w:hAnsi="宋体" w:eastAsia="仿宋_GB2312" w:cs="ArialUnicodeMS"/>
          <w:sz w:val="32"/>
          <w:szCs w:val="32"/>
        </w:rPr>
      </w:pP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财政拨款收入：</w:t>
      </w:r>
      <w:r>
        <w:rPr>
          <w:rFonts w:hint="eastAsia" w:ascii="仿宋_GB2312" w:hAnsi="宋体" w:eastAsia="仿宋_GB2312" w:cs="Times New Roman"/>
          <w:bCs/>
          <w:color w:val="000000"/>
          <w:kern w:val="0"/>
          <w:sz w:val="32"/>
          <w:szCs w:val="32"/>
        </w:rPr>
        <w:t>指单位从同级财政部门取得的财政预</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算资金。</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事业收入：</w:t>
      </w:r>
      <w:r>
        <w:rPr>
          <w:rFonts w:hint="eastAsia" w:ascii="仿宋_GB2312" w:hAnsi="宋体" w:eastAsia="仿宋_GB2312" w:cs="Times New Roman"/>
          <w:bCs/>
          <w:color w:val="000000"/>
          <w:kern w:val="0"/>
          <w:sz w:val="32"/>
          <w:szCs w:val="32"/>
        </w:rPr>
        <w:t>指事业单位开展专业业务活动及辅助活动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经营收入：</w:t>
      </w:r>
      <w:r>
        <w:rPr>
          <w:rFonts w:hint="eastAsia" w:ascii="仿宋_GB2312" w:hAnsi="宋体" w:eastAsia="仿宋_GB2312" w:cs="Times New Roman"/>
          <w:bCs/>
          <w:color w:val="000000"/>
          <w:kern w:val="0"/>
          <w:sz w:val="32"/>
          <w:szCs w:val="32"/>
        </w:rPr>
        <w:t>指事业单位在专业业务活动及其辅助活动</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之外开展非独立核算经营活动取得的收入。</w:t>
      </w:r>
    </w:p>
    <w:p>
      <w:pPr>
        <w:numPr>
          <w:ilvl w:val="0"/>
          <w:numId w:val="4"/>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其他收入：</w:t>
      </w:r>
      <w:r>
        <w:rPr>
          <w:rFonts w:hint="eastAsia" w:ascii="仿宋_GB2312" w:hAnsi="宋体" w:eastAsia="仿宋_GB2312" w:cs="Times New Roman"/>
          <w:bCs/>
          <w:color w:val="000000"/>
          <w:kern w:val="0"/>
          <w:sz w:val="32"/>
          <w:szCs w:val="32"/>
        </w:rPr>
        <w:t>指单位取得的除上述收入以外的各项收</w:t>
      </w:r>
    </w:p>
    <w:p>
      <w:pPr>
        <w:spacing w:line="580" w:lineRule="exact"/>
        <w:rPr>
          <w:rFonts w:ascii="仿宋_GB2312" w:hAnsi="宋体" w:eastAsia="仿宋_GB2312" w:cs="Times New Roman"/>
          <w:b/>
          <w:bCs/>
          <w:color w:val="000000"/>
          <w:kern w:val="0"/>
          <w:sz w:val="32"/>
          <w:szCs w:val="32"/>
        </w:rPr>
      </w:pPr>
      <w:r>
        <w:rPr>
          <w:rFonts w:hint="eastAsia" w:ascii="仿宋_GB2312" w:hAnsi="宋体" w:eastAsia="仿宋_GB2312" w:cs="Times New Roman"/>
          <w:bCs/>
          <w:color w:val="000000"/>
          <w:kern w:val="0"/>
          <w:sz w:val="32"/>
          <w:szCs w:val="32"/>
        </w:rPr>
        <w:t>入。主要是事业单位固定资产出租收入、存款利息收入等。</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 xml:space="preserve">   五、使用非财政拨款结余（含专用结余）：</w:t>
      </w:r>
      <w:r>
        <w:rPr>
          <w:rFonts w:hint="eastAsia" w:ascii="仿宋_GB2312" w:hAnsi="宋体" w:eastAsia="仿宋_GB2312" w:cs="Times New Roman"/>
          <w:bCs/>
          <w:color w:val="000000"/>
          <w:kern w:val="0"/>
          <w:sz w:val="32"/>
          <w:szCs w:val="32"/>
        </w:rPr>
        <w:t>指事业单位按照预算管理要求使用非财政拨款结余弥补收支差额的金额，以及使用专用结余安排支出的金额。</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年初结转和结余：</w:t>
      </w:r>
      <w:r>
        <w:rPr>
          <w:rFonts w:hint="eastAsia" w:ascii="仿宋_GB2312" w:hAnsi="宋体" w:eastAsia="仿宋_GB2312" w:cs="Times New Roman"/>
          <w:bCs/>
          <w:color w:val="000000"/>
          <w:kern w:val="0"/>
          <w:sz w:val="32"/>
          <w:szCs w:val="32"/>
        </w:rPr>
        <w:t>指单位以前年度尚未完成、结转到</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本年仍按原规定用途继续使用的资金，或项目已完成等产生的结余资金。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结余分配：</w:t>
      </w:r>
      <w:r>
        <w:rPr>
          <w:rFonts w:hint="eastAsia" w:ascii="仿宋_GB2312" w:hAnsi="宋体" w:eastAsia="仿宋_GB2312" w:cs="Times New Roman"/>
          <w:bCs/>
          <w:color w:val="000000"/>
          <w:kern w:val="0"/>
          <w:sz w:val="32"/>
          <w:szCs w:val="32"/>
        </w:rPr>
        <w:t>指事业单位按照会计制度规定缴纳的所得</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税、提取的专用结余以及转入非财政拨款结余的金额等。</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年末结转和结余：</w:t>
      </w:r>
      <w:r>
        <w:rPr>
          <w:rFonts w:hint="eastAsia" w:ascii="仿宋_GB2312" w:hAnsi="宋体" w:eastAsia="仿宋_GB2312" w:cs="Times New Roman"/>
          <w:bCs/>
          <w:color w:val="000000"/>
          <w:kern w:val="0"/>
          <w:sz w:val="32"/>
          <w:szCs w:val="32"/>
        </w:rPr>
        <w:t>指单位按有关规定结转到下年或以</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后年度继续使用的资金，或项目已完成等产生的结余资金。</w:t>
      </w:r>
    </w:p>
    <w:p>
      <w:pPr>
        <w:numPr>
          <w:ilvl w:val="0"/>
          <w:numId w:val="5"/>
        </w:num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
          <w:bCs/>
          <w:color w:val="000000"/>
          <w:kern w:val="0"/>
          <w:sz w:val="32"/>
          <w:szCs w:val="32"/>
        </w:rPr>
        <w:t>基本支出：</w:t>
      </w:r>
      <w:r>
        <w:rPr>
          <w:rFonts w:hint="eastAsia" w:ascii="仿宋_GB2312" w:hAnsi="宋体" w:eastAsia="仿宋_GB2312" w:cs="Times New Roman"/>
          <w:bCs/>
          <w:color w:val="000000"/>
          <w:kern w:val="0"/>
          <w:sz w:val="32"/>
          <w:szCs w:val="32"/>
        </w:rPr>
        <w:t>指为保障机构正常运转、完成日常工作任</w:t>
      </w:r>
    </w:p>
    <w:p>
      <w:pPr>
        <w:spacing w:line="580" w:lineRule="exact"/>
        <w:rPr>
          <w:rFonts w:ascii="仿宋_GB2312" w:hAnsi="宋体" w:eastAsia="仿宋_GB2312" w:cs="Times New Roman"/>
          <w:bCs/>
          <w:color w:val="000000"/>
          <w:kern w:val="0"/>
          <w:sz w:val="32"/>
          <w:szCs w:val="32"/>
        </w:rPr>
      </w:pPr>
      <w:r>
        <w:rPr>
          <w:rFonts w:hint="eastAsia" w:ascii="仿宋_GB2312" w:hAnsi="宋体" w:eastAsia="仿宋_GB2312" w:cs="Times New Roman"/>
          <w:bCs/>
          <w:color w:val="000000"/>
          <w:kern w:val="0"/>
          <w:sz w:val="32"/>
          <w:szCs w:val="32"/>
        </w:rPr>
        <w:t>务而发生的人员支出和公用支出。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十、项目支出：</w:t>
      </w:r>
      <w:r>
        <w:rPr>
          <w:rFonts w:hint="eastAsia" w:ascii="仿宋_GB2312" w:hAnsi="宋体" w:eastAsia="仿宋_GB2312" w:cs="Times New Roman"/>
          <w:color w:val="000000"/>
          <w:kern w:val="0"/>
          <w:sz w:val="32"/>
          <w:szCs w:val="32"/>
        </w:rPr>
        <w:t>指在基本支出之外为完成特定行政任务和事业发展目标所发生的支出。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十一、经营支出 ：</w:t>
      </w:r>
      <w:r>
        <w:rPr>
          <w:rFonts w:hint="eastAsia" w:ascii="仿宋_GB2312" w:hAnsi="宋体" w:eastAsia="仿宋_GB2312" w:cs="Times New Roman"/>
          <w:color w:val="000000"/>
          <w:kern w:val="0"/>
          <w:sz w:val="32"/>
          <w:szCs w:val="32"/>
        </w:rPr>
        <w:t>指事业单位在专业业务活动及其辅助活动之外开展非独立核算经营活动发生的支出。</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3" w:firstLineChars="200"/>
        <w:rPr>
          <w:rFonts w:ascii="仿宋_GB2312" w:hAnsi="宋体" w:eastAsia="仿宋_GB2312" w:cs="Times New Roman"/>
          <w:b/>
          <w:bCs/>
          <w:color w:val="000000"/>
          <w:kern w:val="0"/>
          <w:sz w:val="32"/>
          <w:szCs w:val="32"/>
        </w:rPr>
      </w:pPr>
      <w:r>
        <w:rPr>
          <w:rFonts w:hint="eastAsia" w:ascii="仿宋_GB2312" w:hAnsi="宋体" w:eastAsia="仿宋_GB2312" w:cs="Times New Roman"/>
          <w:b/>
          <w:bCs/>
          <w:color w:val="000000"/>
          <w:kern w:val="0"/>
          <w:sz w:val="32"/>
          <w:szCs w:val="32"/>
        </w:rPr>
        <w:t>十三、其他资本性支出：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十七、其他交通工具购置：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3"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十八、机关运行经费：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3"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十九、经费形式: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147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思源黑体 CN Heavy">
    <w:altName w:val="黑体"/>
    <w:panose1 w:val="00000000000000000000"/>
    <w:charset w:val="86"/>
    <w:family w:val="swiss"/>
    <w:pitch w:val="default"/>
    <w:sig w:usb0="00000000" w:usb1="00000000" w:usb2="00000016" w:usb3="00000000" w:csb0="00060107" w:csb1="00000000"/>
  </w:font>
  <w:font w:name="仿宋_GB2312">
    <w:altName w:val="仿宋"/>
    <w:panose1 w:val="02010609030101010101"/>
    <w:charset w:val="86"/>
    <w:family w:val="modern"/>
    <w:pitch w:val="default"/>
    <w:sig w:usb0="00000000" w:usb1="00000000" w:usb2="00000010" w:usb3="00000000" w:csb0="00040000" w:csb1="00000000"/>
  </w:font>
  <w:font w:name="ArialUnicodeMS">
    <w:altName w:val="Malgun Gothic"/>
    <w:panose1 w:val="00000000000000000000"/>
    <w:charset w:val="81"/>
    <w:family w:val="auto"/>
    <w:pitch w:val="default"/>
    <w:sig w:usb0="00000000" w:usb1="00000000" w:usb2="00000010" w:usb3="00000000" w:csb0="0008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DengXian-Regular">
    <w:altName w:val="宋体"/>
    <w:panose1 w:val="00000000000000000000"/>
    <w:charset w:val="86"/>
    <w:family w:val="auto"/>
    <w:pitch w:val="default"/>
    <w:sig w:usb0="00000000" w:usb1="00000000" w:usb2="00000010" w:usb3="00000000" w:csb0="00040001" w:csb1="00000000"/>
  </w:font>
  <w:font w:name="DengXian-Bold">
    <w:altName w:val="宋体"/>
    <w:panose1 w:val="00000000000000000000"/>
    <w:charset w:val="86"/>
    <w:family w:val="auto"/>
    <w:pitch w:val="default"/>
    <w:sig w:usb0="00000000" w:usb1="00000000" w:usb2="00000010" w:usb3="00000000" w:csb0="00040001" w:csb1="00000000"/>
  </w:font>
  <w:font w:name="MS-UIGothic,Bold">
    <w:altName w:val="Malgun Gothic"/>
    <w:panose1 w:val="00000000000000000000"/>
    <w:charset w:val="81"/>
    <w:family w:val="auto"/>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384AB9"/>
    <w:multiLevelType w:val="singleLevel"/>
    <w:tmpl w:val="B4384AB9"/>
    <w:lvl w:ilvl="0" w:tentative="0">
      <w:start w:val="2"/>
      <w:numFmt w:val="chineseCounting"/>
      <w:suff w:val="space"/>
      <w:lvlText w:val="第%1部分"/>
      <w:lvlJc w:val="left"/>
      <w:pPr>
        <w:ind w:left="1760" w:firstLine="0"/>
      </w:pPr>
      <w:rPr>
        <w:rFonts w:hint="eastAsia"/>
      </w:rPr>
    </w:lvl>
  </w:abstractNum>
  <w:abstractNum w:abstractNumId="1">
    <w:nsid w:val="45DB9A87"/>
    <w:multiLevelType w:val="singleLevel"/>
    <w:tmpl w:val="45DB9A87"/>
    <w:lvl w:ilvl="0" w:tentative="0">
      <w:start w:val="3"/>
      <w:numFmt w:val="chineseCounting"/>
      <w:suff w:val="nothing"/>
      <w:lvlText w:val="（%1）"/>
      <w:lvlJc w:val="left"/>
      <w:rPr>
        <w:rFonts w:hint="eastAsia"/>
      </w:rPr>
    </w:lvl>
  </w:abstractNum>
  <w:abstractNum w:abstractNumId="2">
    <w:nsid w:val="486A544E"/>
    <w:multiLevelType w:val="multilevel"/>
    <w:tmpl w:val="486A544E"/>
    <w:lvl w:ilvl="0" w:tentative="0">
      <w:start w:val="6"/>
      <w:numFmt w:val="japaneseCounting"/>
      <w:lvlText w:val="%1、"/>
      <w:lvlJc w:val="left"/>
      <w:pPr>
        <w:ind w:left="1360" w:hanging="720"/>
      </w:pPr>
      <w:rPr>
        <w:rFonts w:hint="default"/>
        <w:b/>
        <w:u w:val="none"/>
      </w:rPr>
    </w:lvl>
    <w:lvl w:ilvl="1" w:tentative="0">
      <w:start w:val="1"/>
      <w:numFmt w:val="lowerLetter"/>
      <w:lvlText w:val="%2)"/>
      <w:lvlJc w:val="left"/>
      <w:pPr>
        <w:ind w:left="1480" w:hanging="420"/>
      </w:pPr>
      <w:rPr>
        <w:rFonts w:hint="default"/>
        <w:u w:val="none"/>
      </w:rPr>
    </w:lvl>
    <w:lvl w:ilvl="2" w:tentative="0">
      <w:start w:val="1"/>
      <w:numFmt w:val="lowerRoman"/>
      <w:lvlText w:val="%3."/>
      <w:lvlJc w:val="right"/>
      <w:pPr>
        <w:ind w:left="1900" w:hanging="420"/>
      </w:pPr>
      <w:rPr>
        <w:rFonts w:hint="default"/>
        <w:u w:val="none"/>
      </w:rPr>
    </w:lvl>
    <w:lvl w:ilvl="3" w:tentative="0">
      <w:start w:val="1"/>
      <w:numFmt w:val="decimal"/>
      <w:lvlText w:val="%4."/>
      <w:lvlJc w:val="left"/>
      <w:pPr>
        <w:ind w:left="2320" w:hanging="420"/>
      </w:pPr>
      <w:rPr>
        <w:rFonts w:hint="default"/>
        <w:u w:val="none"/>
      </w:rPr>
    </w:lvl>
    <w:lvl w:ilvl="4" w:tentative="0">
      <w:start w:val="1"/>
      <w:numFmt w:val="lowerLetter"/>
      <w:lvlText w:val="%5)"/>
      <w:lvlJc w:val="left"/>
      <w:pPr>
        <w:ind w:left="2740" w:hanging="420"/>
      </w:pPr>
      <w:rPr>
        <w:rFonts w:hint="default"/>
        <w:u w:val="none"/>
      </w:rPr>
    </w:lvl>
    <w:lvl w:ilvl="5" w:tentative="0">
      <w:start w:val="1"/>
      <w:numFmt w:val="lowerRoman"/>
      <w:lvlText w:val="%6."/>
      <w:lvlJc w:val="right"/>
      <w:pPr>
        <w:ind w:left="3160" w:hanging="420"/>
      </w:pPr>
      <w:rPr>
        <w:rFonts w:hint="default"/>
        <w:u w:val="none"/>
      </w:rPr>
    </w:lvl>
    <w:lvl w:ilvl="6" w:tentative="0">
      <w:start w:val="1"/>
      <w:numFmt w:val="decimal"/>
      <w:lvlText w:val="%7."/>
      <w:lvlJc w:val="left"/>
      <w:pPr>
        <w:ind w:left="3580" w:hanging="420"/>
      </w:pPr>
      <w:rPr>
        <w:rFonts w:hint="default"/>
        <w:u w:val="none"/>
      </w:rPr>
    </w:lvl>
    <w:lvl w:ilvl="7" w:tentative="0">
      <w:start w:val="1"/>
      <w:numFmt w:val="lowerLetter"/>
      <w:lvlText w:val="%8)"/>
      <w:lvlJc w:val="left"/>
      <w:pPr>
        <w:ind w:left="4000" w:hanging="420"/>
      </w:pPr>
      <w:rPr>
        <w:rFonts w:hint="default"/>
        <w:u w:val="none"/>
      </w:rPr>
    </w:lvl>
    <w:lvl w:ilvl="8" w:tentative="0">
      <w:start w:val="1"/>
      <w:numFmt w:val="lowerRoman"/>
      <w:lvlText w:val="%9."/>
      <w:lvlJc w:val="right"/>
      <w:pPr>
        <w:ind w:left="4420" w:hanging="420"/>
      </w:pPr>
      <w:rPr>
        <w:rFonts w:hint="default"/>
        <w:u w:val="none"/>
      </w:rPr>
    </w:lvl>
  </w:abstractNum>
  <w:abstractNum w:abstractNumId="3">
    <w:nsid w:val="53D25D65"/>
    <w:multiLevelType w:val="multilevel"/>
    <w:tmpl w:val="53D25D65"/>
    <w:lvl w:ilvl="0" w:tentative="0">
      <w:start w:val="1"/>
      <w:numFmt w:val="japaneseCounting"/>
      <w:lvlText w:val="%1、"/>
      <w:lvlJc w:val="left"/>
      <w:pPr>
        <w:tabs>
          <w:tab w:val="left" w:pos="1395"/>
        </w:tabs>
        <w:ind w:left="1395" w:hanging="720"/>
      </w:pPr>
      <w:rPr>
        <w:rFonts w:hint="default"/>
        <w:b/>
        <w:u w:val="none"/>
      </w:rPr>
    </w:lvl>
    <w:lvl w:ilvl="1" w:tentative="0">
      <w:start w:val="1"/>
      <w:numFmt w:val="lowerLetter"/>
      <w:lvlText w:val="%2)"/>
      <w:lvlJc w:val="left"/>
      <w:pPr>
        <w:tabs>
          <w:tab w:val="left" w:pos="1515"/>
        </w:tabs>
        <w:ind w:left="1515" w:hanging="420"/>
      </w:pPr>
      <w:rPr>
        <w:rFonts w:hint="default"/>
        <w:u w:val="none"/>
      </w:rPr>
    </w:lvl>
    <w:lvl w:ilvl="2" w:tentative="0">
      <w:start w:val="1"/>
      <w:numFmt w:val="lowerRoman"/>
      <w:lvlText w:val="%3."/>
      <w:lvlJc w:val="right"/>
      <w:pPr>
        <w:tabs>
          <w:tab w:val="left" w:pos="1935"/>
        </w:tabs>
        <w:ind w:left="1935" w:hanging="420"/>
      </w:pPr>
      <w:rPr>
        <w:rFonts w:hint="default"/>
        <w:u w:val="none"/>
      </w:rPr>
    </w:lvl>
    <w:lvl w:ilvl="3" w:tentative="0">
      <w:start w:val="1"/>
      <w:numFmt w:val="decimal"/>
      <w:lvlText w:val="%4."/>
      <w:lvlJc w:val="left"/>
      <w:pPr>
        <w:tabs>
          <w:tab w:val="left" w:pos="2355"/>
        </w:tabs>
        <w:ind w:left="2355" w:hanging="420"/>
      </w:pPr>
      <w:rPr>
        <w:rFonts w:hint="default"/>
        <w:u w:val="none"/>
      </w:rPr>
    </w:lvl>
    <w:lvl w:ilvl="4" w:tentative="0">
      <w:start w:val="1"/>
      <w:numFmt w:val="lowerLetter"/>
      <w:lvlText w:val="%5)"/>
      <w:lvlJc w:val="left"/>
      <w:pPr>
        <w:tabs>
          <w:tab w:val="left" w:pos="2775"/>
        </w:tabs>
        <w:ind w:left="2775" w:hanging="420"/>
      </w:pPr>
      <w:rPr>
        <w:rFonts w:hint="default"/>
        <w:u w:val="none"/>
      </w:rPr>
    </w:lvl>
    <w:lvl w:ilvl="5" w:tentative="0">
      <w:start w:val="1"/>
      <w:numFmt w:val="lowerRoman"/>
      <w:lvlText w:val="%6."/>
      <w:lvlJc w:val="right"/>
      <w:pPr>
        <w:tabs>
          <w:tab w:val="left" w:pos="3195"/>
        </w:tabs>
        <w:ind w:left="3195" w:hanging="420"/>
      </w:pPr>
      <w:rPr>
        <w:rFonts w:hint="default"/>
        <w:u w:val="none"/>
      </w:rPr>
    </w:lvl>
    <w:lvl w:ilvl="6" w:tentative="0">
      <w:start w:val="1"/>
      <w:numFmt w:val="decimal"/>
      <w:lvlText w:val="%7."/>
      <w:lvlJc w:val="left"/>
      <w:pPr>
        <w:tabs>
          <w:tab w:val="left" w:pos="3615"/>
        </w:tabs>
        <w:ind w:left="3615" w:hanging="420"/>
      </w:pPr>
      <w:rPr>
        <w:rFonts w:hint="default"/>
        <w:u w:val="none"/>
      </w:rPr>
    </w:lvl>
    <w:lvl w:ilvl="7" w:tentative="0">
      <w:start w:val="1"/>
      <w:numFmt w:val="lowerLetter"/>
      <w:lvlText w:val="%8)"/>
      <w:lvlJc w:val="left"/>
      <w:pPr>
        <w:tabs>
          <w:tab w:val="left" w:pos="4035"/>
        </w:tabs>
        <w:ind w:left="4035" w:hanging="420"/>
      </w:pPr>
      <w:rPr>
        <w:rFonts w:hint="default"/>
        <w:u w:val="none"/>
      </w:rPr>
    </w:lvl>
    <w:lvl w:ilvl="8" w:tentative="0">
      <w:start w:val="1"/>
      <w:numFmt w:val="lowerRoman"/>
      <w:lvlText w:val="%9."/>
      <w:lvlJc w:val="right"/>
      <w:pPr>
        <w:tabs>
          <w:tab w:val="left" w:pos="4455"/>
        </w:tabs>
        <w:ind w:left="4455" w:hanging="420"/>
      </w:pPr>
      <w:rPr>
        <w:rFonts w:hint="default"/>
        <w:u w:val="none"/>
      </w:rPr>
    </w:lvl>
  </w:abstractNum>
  <w:abstractNum w:abstractNumId="4">
    <w:nsid w:val="5AAF33FC"/>
    <w:multiLevelType w:val="multilevel"/>
    <w:tmpl w:val="5AAF33FC"/>
    <w:lvl w:ilvl="0" w:tentative="0">
      <w:start w:val="1"/>
      <w:numFmt w:val="japaneseCounting"/>
      <w:lvlText w:val="%1、"/>
      <w:lvlJc w:val="left"/>
      <w:pPr>
        <w:ind w:left="1280" w:hanging="640"/>
      </w:pPr>
      <w:rPr>
        <w:rFonts w:hint="default"/>
        <w:sz w:val="3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jb3VudCI6OTgsImhkaWQiOiI0MWVkM2ZkM2M2NjIzNzJmMDZjNGJjNGI4NTRkMzliMSIsInVzZXJDb3VudCI6Mzh9"/>
    <w:docVar w:name="KSO_WPS_MARK_KEY" w:val="71c2c6a0-067b-4e3a-b3ef-0dc62715dcd3"/>
  </w:docVars>
  <w:rsids>
    <w:rsidRoot w:val="00172A27"/>
    <w:rsid w:val="000031F7"/>
    <w:rsid w:val="00014862"/>
    <w:rsid w:val="000349BA"/>
    <w:rsid w:val="000C31FE"/>
    <w:rsid w:val="000C393A"/>
    <w:rsid w:val="00125965"/>
    <w:rsid w:val="00144CC5"/>
    <w:rsid w:val="00151F46"/>
    <w:rsid w:val="00172A27"/>
    <w:rsid w:val="00203288"/>
    <w:rsid w:val="00206EB2"/>
    <w:rsid w:val="002129F2"/>
    <w:rsid w:val="0022096D"/>
    <w:rsid w:val="00243E62"/>
    <w:rsid w:val="00262CE0"/>
    <w:rsid w:val="002C2C3F"/>
    <w:rsid w:val="00310221"/>
    <w:rsid w:val="0034600F"/>
    <w:rsid w:val="00366EA1"/>
    <w:rsid w:val="003C1516"/>
    <w:rsid w:val="004550B9"/>
    <w:rsid w:val="00473A26"/>
    <w:rsid w:val="00483998"/>
    <w:rsid w:val="004D1145"/>
    <w:rsid w:val="004E274E"/>
    <w:rsid w:val="004F23D0"/>
    <w:rsid w:val="004F5E71"/>
    <w:rsid w:val="005154E6"/>
    <w:rsid w:val="0051575E"/>
    <w:rsid w:val="00522C51"/>
    <w:rsid w:val="00550130"/>
    <w:rsid w:val="005B2633"/>
    <w:rsid w:val="00657113"/>
    <w:rsid w:val="00663586"/>
    <w:rsid w:val="006C5D6E"/>
    <w:rsid w:val="007042CC"/>
    <w:rsid w:val="00704A9C"/>
    <w:rsid w:val="00757732"/>
    <w:rsid w:val="00786182"/>
    <w:rsid w:val="007B4464"/>
    <w:rsid w:val="00816BB2"/>
    <w:rsid w:val="008349E7"/>
    <w:rsid w:val="008414F6"/>
    <w:rsid w:val="00853F9E"/>
    <w:rsid w:val="00855E47"/>
    <w:rsid w:val="00896712"/>
    <w:rsid w:val="008E5668"/>
    <w:rsid w:val="009718A8"/>
    <w:rsid w:val="009D7927"/>
    <w:rsid w:val="009E6461"/>
    <w:rsid w:val="00A12180"/>
    <w:rsid w:val="00A66109"/>
    <w:rsid w:val="00B15320"/>
    <w:rsid w:val="00B170B0"/>
    <w:rsid w:val="00B20DC3"/>
    <w:rsid w:val="00B86E38"/>
    <w:rsid w:val="00BE1054"/>
    <w:rsid w:val="00BE7649"/>
    <w:rsid w:val="00C21492"/>
    <w:rsid w:val="00C418F5"/>
    <w:rsid w:val="00CE4C2D"/>
    <w:rsid w:val="00CE755E"/>
    <w:rsid w:val="00D25268"/>
    <w:rsid w:val="00D264B9"/>
    <w:rsid w:val="00D71400"/>
    <w:rsid w:val="00DA0B17"/>
    <w:rsid w:val="00DE4245"/>
    <w:rsid w:val="00DF42C4"/>
    <w:rsid w:val="00DF688D"/>
    <w:rsid w:val="00E039B0"/>
    <w:rsid w:val="00E35F22"/>
    <w:rsid w:val="00E40650"/>
    <w:rsid w:val="00E44B04"/>
    <w:rsid w:val="00E519C7"/>
    <w:rsid w:val="00E54036"/>
    <w:rsid w:val="00E669B9"/>
    <w:rsid w:val="00E818B1"/>
    <w:rsid w:val="00E83CBD"/>
    <w:rsid w:val="00E86E79"/>
    <w:rsid w:val="00EB1655"/>
    <w:rsid w:val="00F242CA"/>
    <w:rsid w:val="00F6041B"/>
    <w:rsid w:val="00F64D3A"/>
    <w:rsid w:val="00FC3F68"/>
    <w:rsid w:val="00FF453A"/>
    <w:rsid w:val="018E53BB"/>
    <w:rsid w:val="019A3E71"/>
    <w:rsid w:val="01B752BF"/>
    <w:rsid w:val="02F2691F"/>
    <w:rsid w:val="04A86794"/>
    <w:rsid w:val="05273E55"/>
    <w:rsid w:val="05473CAE"/>
    <w:rsid w:val="057E00B1"/>
    <w:rsid w:val="06EB1AB6"/>
    <w:rsid w:val="099D6B31"/>
    <w:rsid w:val="09FD66D9"/>
    <w:rsid w:val="0BD279F0"/>
    <w:rsid w:val="10B242CF"/>
    <w:rsid w:val="11C54AC9"/>
    <w:rsid w:val="11F4604E"/>
    <w:rsid w:val="136D16FB"/>
    <w:rsid w:val="13AA21BF"/>
    <w:rsid w:val="167D6A0B"/>
    <w:rsid w:val="1A3D2C72"/>
    <w:rsid w:val="216937C4"/>
    <w:rsid w:val="231B6AE8"/>
    <w:rsid w:val="24846C6D"/>
    <w:rsid w:val="257C1CB8"/>
    <w:rsid w:val="25CB1C5A"/>
    <w:rsid w:val="275A74F9"/>
    <w:rsid w:val="297B7724"/>
    <w:rsid w:val="298605CB"/>
    <w:rsid w:val="2A236635"/>
    <w:rsid w:val="2CEF036C"/>
    <w:rsid w:val="2D2D6F87"/>
    <w:rsid w:val="32331CE7"/>
    <w:rsid w:val="32A31C4C"/>
    <w:rsid w:val="32B53CA7"/>
    <w:rsid w:val="33CD2241"/>
    <w:rsid w:val="34967CFD"/>
    <w:rsid w:val="34F843C3"/>
    <w:rsid w:val="36635482"/>
    <w:rsid w:val="39C2416B"/>
    <w:rsid w:val="3A867EF3"/>
    <w:rsid w:val="3B744E3E"/>
    <w:rsid w:val="3BF51F58"/>
    <w:rsid w:val="3C6D458B"/>
    <w:rsid w:val="3D7C7953"/>
    <w:rsid w:val="3DC91A1B"/>
    <w:rsid w:val="3F235BB1"/>
    <w:rsid w:val="3F663581"/>
    <w:rsid w:val="41745858"/>
    <w:rsid w:val="423B6EEB"/>
    <w:rsid w:val="42A44BF6"/>
    <w:rsid w:val="441963ED"/>
    <w:rsid w:val="44682EB4"/>
    <w:rsid w:val="4571549B"/>
    <w:rsid w:val="46A05CBE"/>
    <w:rsid w:val="471274FD"/>
    <w:rsid w:val="49717ADD"/>
    <w:rsid w:val="499315BF"/>
    <w:rsid w:val="4A51609B"/>
    <w:rsid w:val="4C194D3B"/>
    <w:rsid w:val="4D304C6C"/>
    <w:rsid w:val="4D3D6CE2"/>
    <w:rsid w:val="4EDE12E7"/>
    <w:rsid w:val="4F2A6A41"/>
    <w:rsid w:val="500373A2"/>
    <w:rsid w:val="507C6383"/>
    <w:rsid w:val="53AD746D"/>
    <w:rsid w:val="540939FA"/>
    <w:rsid w:val="561769D4"/>
    <w:rsid w:val="58D844B0"/>
    <w:rsid w:val="5C5F1009"/>
    <w:rsid w:val="5F4A1A8C"/>
    <w:rsid w:val="60075621"/>
    <w:rsid w:val="602001C2"/>
    <w:rsid w:val="60CE32E1"/>
    <w:rsid w:val="60D042FF"/>
    <w:rsid w:val="6233700C"/>
    <w:rsid w:val="632705B6"/>
    <w:rsid w:val="649A7590"/>
    <w:rsid w:val="64C00985"/>
    <w:rsid w:val="64D90E45"/>
    <w:rsid w:val="65225D26"/>
    <w:rsid w:val="65DB5CBA"/>
    <w:rsid w:val="66F95B50"/>
    <w:rsid w:val="674E6C15"/>
    <w:rsid w:val="67636EEB"/>
    <w:rsid w:val="697609B2"/>
    <w:rsid w:val="69F4671F"/>
    <w:rsid w:val="6BA53F12"/>
    <w:rsid w:val="6CAD0F6F"/>
    <w:rsid w:val="6CBF282C"/>
    <w:rsid w:val="70E81256"/>
    <w:rsid w:val="726864F5"/>
    <w:rsid w:val="73335BEE"/>
    <w:rsid w:val="734B3BFA"/>
    <w:rsid w:val="73753308"/>
    <w:rsid w:val="743444A4"/>
    <w:rsid w:val="74B61AFD"/>
    <w:rsid w:val="76CD04E1"/>
    <w:rsid w:val="771A28D2"/>
    <w:rsid w:val="77275ABE"/>
    <w:rsid w:val="78E81250"/>
    <w:rsid w:val="79442C5B"/>
    <w:rsid w:val="7B236148"/>
    <w:rsid w:val="7BB011B5"/>
    <w:rsid w:val="7C2A2F43"/>
    <w:rsid w:val="7E101431"/>
    <w:rsid w:val="7EAD4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7"/>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7">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字符"/>
    <w:basedOn w:val="8"/>
    <w:link w:val="4"/>
    <w:qFormat/>
    <w:uiPriority w:val="99"/>
    <w:rPr>
      <w:kern w:val="2"/>
      <w:sz w:val="18"/>
      <w:szCs w:val="18"/>
    </w:rPr>
  </w:style>
  <w:style w:type="character" w:customStyle="1" w:styleId="10">
    <w:name w:val="页眉 字符"/>
    <w:basedOn w:val="8"/>
    <w:link w:val="5"/>
    <w:qFormat/>
    <w:uiPriority w:val="0"/>
    <w:rPr>
      <w:kern w:val="2"/>
      <w:sz w:val="18"/>
      <w:szCs w:val="18"/>
    </w:rPr>
  </w:style>
  <w:style w:type="character" w:customStyle="1" w:styleId="11">
    <w:name w:val="font11"/>
    <w:basedOn w:val="8"/>
    <w:qFormat/>
    <w:uiPriority w:val="0"/>
    <w:rPr>
      <w:rFonts w:hint="eastAsia" w:ascii="宋体" w:hAnsi="宋体" w:eastAsia="宋体" w:cs="宋体"/>
      <w:color w:val="000000"/>
      <w:sz w:val="20"/>
      <w:szCs w:val="20"/>
      <w:u w:val="none"/>
    </w:rPr>
  </w:style>
  <w:style w:type="character" w:customStyle="1" w:styleId="12">
    <w:name w:val="font01"/>
    <w:basedOn w:val="8"/>
    <w:qFormat/>
    <w:uiPriority w:val="0"/>
    <w:rPr>
      <w:rFonts w:hint="eastAsia" w:ascii="宋体" w:hAnsi="宋体" w:eastAsia="宋体" w:cs="宋体"/>
      <w:color w:val="000000"/>
      <w:sz w:val="22"/>
      <w:szCs w:val="22"/>
      <w:u w:val="none"/>
    </w:rPr>
  </w:style>
  <w:style w:type="character" w:customStyle="1" w:styleId="13">
    <w:name w:val="font41"/>
    <w:basedOn w:val="8"/>
    <w:qFormat/>
    <w:uiPriority w:val="0"/>
    <w:rPr>
      <w:rFonts w:hint="eastAsia" w:ascii="宋体" w:hAnsi="宋体" w:eastAsia="宋体" w:cs="宋体"/>
      <w:color w:val="000000"/>
      <w:sz w:val="24"/>
      <w:szCs w:val="24"/>
      <w:u w:val="none"/>
    </w:rPr>
  </w:style>
  <w:style w:type="character" w:customStyle="1" w:styleId="14">
    <w:name w:val="font31"/>
    <w:basedOn w:val="8"/>
    <w:qFormat/>
    <w:uiPriority w:val="0"/>
    <w:rPr>
      <w:rFonts w:hint="eastAsia" w:ascii="华文中宋" w:hAnsi="华文中宋" w:eastAsia="华文中宋" w:cs="华文中宋"/>
      <w:color w:val="000000"/>
      <w:sz w:val="32"/>
      <w:szCs w:val="32"/>
      <w:u w:val="none"/>
    </w:rPr>
  </w:style>
  <w:style w:type="character" w:customStyle="1" w:styleId="15">
    <w:name w:val="font91"/>
    <w:basedOn w:val="8"/>
    <w:qFormat/>
    <w:uiPriority w:val="0"/>
    <w:rPr>
      <w:rFonts w:hint="eastAsia" w:ascii="华文中宋" w:hAnsi="华文中宋" w:eastAsia="华文中宋" w:cs="华文中宋"/>
      <w:color w:val="000000"/>
      <w:sz w:val="32"/>
      <w:szCs w:val="32"/>
      <w:u w:val="none"/>
    </w:rPr>
  </w:style>
  <w:style w:type="character" w:customStyle="1" w:styleId="16">
    <w:name w:val="font51"/>
    <w:basedOn w:val="8"/>
    <w:qFormat/>
    <w:uiPriority w:val="0"/>
    <w:rPr>
      <w:rFonts w:hint="eastAsia" w:ascii="宋体" w:hAnsi="宋体" w:eastAsia="宋体" w:cs="宋体"/>
      <w:color w:val="000000"/>
      <w:sz w:val="24"/>
      <w:szCs w:val="24"/>
      <w:u w:val="none"/>
    </w:rPr>
  </w:style>
  <w:style w:type="character" w:customStyle="1" w:styleId="17">
    <w:name w:val="批注框文本 字符"/>
    <w:basedOn w:val="8"/>
    <w:link w:val="3"/>
    <w:semiHidden/>
    <w:qFormat/>
    <w:uiPriority w:val="99"/>
    <w:rPr>
      <w:kern w:val="2"/>
      <w:sz w:val="18"/>
      <w:szCs w:val="18"/>
    </w:rPr>
  </w:style>
  <w:style w:type="table" w:customStyle="1" w:styleId="18">
    <w:name w:val="Table Normal"/>
    <w:autoRedefine/>
    <w:semiHidden/>
    <w:unhideWhenUsed/>
    <w:qFormat/>
    <w:uiPriority w:val="0"/>
    <w:rPr>
      <w:rFonts w:ascii="Arial" w:hAnsi="Arial" w:cs="Arial" w:eastAsiaTheme="minorEastAsia"/>
      <w:snapToGrid w:val="0"/>
      <w:color w:val="000000"/>
      <w:sz w:val="21"/>
      <w:szCs w:val="21"/>
      <w:lang w:eastAsia="en-US"/>
    </w:rPr>
    <w:tblPr>
      <w:tblCellMar>
        <w:top w:w="0" w:type="dxa"/>
        <w:left w:w="0" w:type="dxa"/>
        <w:bottom w:w="0" w:type="dxa"/>
        <w:right w:w="0" w:type="dxa"/>
      </w:tblCellMar>
    </w:tblPr>
  </w:style>
  <w:style w:type="paragraph" w:customStyle="1" w:styleId="19">
    <w:name w:val="Table Text"/>
    <w:basedOn w:val="1"/>
    <w:autoRedefine/>
    <w:semiHidden/>
    <w:qFormat/>
    <w:uiPriority w:val="0"/>
    <w:pPr>
      <w:widowControl/>
      <w:kinsoku w:val="0"/>
      <w:autoSpaceDE w:val="0"/>
      <w:autoSpaceDN w:val="0"/>
      <w:adjustRightInd w:val="0"/>
      <w:snapToGrid w:val="0"/>
      <w:jc w:val="left"/>
      <w:textAlignment w:val="baseline"/>
    </w:pPr>
    <w:rPr>
      <w:rFonts w:ascii="Times New Roman" w:hAnsi="Times New Roman" w:eastAsia="Times New Roman" w:cs="Times New Roman"/>
      <w:snapToGrid w:val="0"/>
      <w:color w:val="000000"/>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chart" Target="charts/chart6.xml"/><Relationship Id="rId20" Type="http://schemas.openxmlformats.org/officeDocument/2006/relationships/chart" Target="charts/chart5.xml"/><Relationship Id="rId2" Type="http://schemas.openxmlformats.org/officeDocument/2006/relationships/settings" Target="settings.xml"/><Relationship Id="rId19" Type="http://schemas.openxmlformats.org/officeDocument/2006/relationships/chart" Target="charts/chart4.xml"/><Relationship Id="rId18" Type="http://schemas.openxmlformats.org/officeDocument/2006/relationships/chart" Target="charts/chart3.xml"/><Relationship Id="rId17" Type="http://schemas.openxmlformats.org/officeDocument/2006/relationships/chart" Target="charts/chart2.xml"/><Relationship Id="rId16" Type="http://schemas.openxmlformats.org/officeDocument/2006/relationships/chart" Target="charts/chart1.xml"/><Relationship Id="rId15" Type="http://schemas.openxmlformats.org/officeDocument/2006/relationships/image" Target="media/image6.jpeg"/><Relationship Id="rId14" Type="http://schemas.openxmlformats.org/officeDocument/2006/relationships/image" Target="media/image5.svg"/><Relationship Id="rId13" Type="http://schemas.openxmlformats.org/officeDocument/2006/relationships/image" Target="media/image4.pn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收入支出决算总体情况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2022年度</c:v>
                </c:pt>
                <c:pt idx="1">
                  <c:v>2023年度</c:v>
                </c:pt>
              </c:strCache>
            </c:strRef>
          </c:cat>
          <c:val>
            <c:numRef>
              <c:f>Sheet1!$B$2:$B$3</c:f>
              <c:numCache>
                <c:formatCode>General</c:formatCode>
                <c:ptCount val="2"/>
                <c:pt idx="0">
                  <c:v>1883.99</c:v>
                </c:pt>
                <c:pt idx="1">
                  <c:v>3453.79</c:v>
                </c:pt>
              </c:numCache>
            </c:numRef>
          </c:val>
        </c:ser>
        <c:dLbls>
          <c:showLegendKey val="0"/>
          <c:showVal val="1"/>
          <c:showCatName val="0"/>
          <c:showSerName val="0"/>
          <c:showPercent val="0"/>
          <c:showBubbleSize val="0"/>
        </c:dLbls>
        <c:gapWidth val="246"/>
        <c:overlap val="-28"/>
        <c:axId val="454697922"/>
        <c:axId val="715797615"/>
      </c:barChart>
      <c:catAx>
        <c:axId val="4546979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797615"/>
        <c:crosses val="autoZero"/>
        <c:auto val="1"/>
        <c:lblAlgn val="ctr"/>
        <c:lblOffset val="100"/>
        <c:noMultiLvlLbl val="0"/>
      </c:catAx>
      <c:valAx>
        <c:axId val="715797615"/>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46979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Sheet1!$A$2</c:f>
              <c:strCache>
                <c:ptCount val="1"/>
                <c:pt idx="0">
                  <c:v>财政拨款收入</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Sheet1!$B$1</c:f>
              <c:strCache>
                <c:ptCount val="1"/>
                <c:pt idx="0">
                  <c:v>2023年度收入</c:v>
                </c:pt>
              </c:strCache>
            </c:strRef>
          </c:cat>
          <c:val>
            <c:numRef>
              <c:f>Sheet1!$B$2</c:f>
              <c:numCache>
                <c:formatCode>General</c:formatCode>
                <c:ptCount val="1"/>
                <c:pt idx="0">
                  <c:v>3453.79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2023年度支出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921.19</c:v>
                </c:pt>
                <c:pt idx="1">
                  <c:v>2210.41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2022年度一般公共预算</c:v>
                </c:pt>
                <c:pt idx="1">
                  <c:v>2023年度一般公共预算</c:v>
                </c:pt>
                <c:pt idx="2">
                  <c:v>2022年度国有资本经营</c:v>
                </c:pt>
                <c:pt idx="3">
                  <c:v>2023年度国有资本经营</c:v>
                </c:pt>
              </c:strCache>
            </c:strRef>
          </c:cat>
          <c:val>
            <c:numRef>
              <c:f>Sheet1!$B$2:$B$5</c:f>
              <c:numCache>
                <c:formatCode>General</c:formatCode>
                <c:ptCount val="4"/>
                <c:pt idx="0">
                  <c:v>1860.99</c:v>
                </c:pt>
                <c:pt idx="1">
                  <c:v>3404.41</c:v>
                </c:pt>
                <c:pt idx="2">
                  <c:v>62.87</c:v>
                </c:pt>
                <c:pt idx="3">
                  <c:v>28.82</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50328227571116"/>
                  <c:y val="0.020215633423180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9932350809374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0634573304157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28227571115974"/>
                  <c:y val="-0.003369272237196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2022年度一般公共预算</c:v>
                </c:pt>
                <c:pt idx="1">
                  <c:v>2023年度一般公共预算</c:v>
                </c:pt>
                <c:pt idx="2">
                  <c:v>2022年度国有资本经营</c:v>
                </c:pt>
                <c:pt idx="3">
                  <c:v>2023年度国有资本经营</c:v>
                </c:pt>
              </c:strCache>
            </c:strRef>
          </c:cat>
          <c:val>
            <c:numRef>
              <c:f>Sheet1!$C$2:$C$5</c:f>
              <c:numCache>
                <c:formatCode>General</c:formatCode>
                <c:ptCount val="4"/>
                <c:pt idx="0">
                  <c:v>1793.85</c:v>
                </c:pt>
                <c:pt idx="1">
                  <c:v>3131.6</c:v>
                </c:pt>
                <c:pt idx="2">
                  <c:v>6.23</c:v>
                </c:pt>
                <c:pt idx="3">
                  <c:v>65.65</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2022年度一般公共预算</c:v>
                </c:pt>
                <c:pt idx="1">
                  <c:v>2023年度一般公共预算</c:v>
                </c:pt>
                <c:pt idx="2">
                  <c:v>2022年度国有资本经营</c:v>
                </c:pt>
                <c:pt idx="3">
                  <c:v>2023年度国有资本经营</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924565241"/>
        <c:axId val="321313019"/>
      </c:barChart>
      <c:catAx>
        <c:axId val="92456524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1313019"/>
        <c:crosses val="autoZero"/>
        <c:auto val="1"/>
        <c:lblAlgn val="ctr"/>
        <c:lblOffset val="100"/>
        <c:noMultiLvlLbl val="0"/>
      </c:catAx>
      <c:valAx>
        <c:axId val="3213130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4565241"/>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c:v>
                </c:pt>
                <c:pt idx="1">
                  <c:v>年初预算</c:v>
                </c:pt>
                <c:pt idx="2">
                  <c:v>国有资本经营预算</c:v>
                </c:pt>
                <c:pt idx="3">
                  <c:v>国有资本年初预算</c:v>
                </c:pt>
              </c:strCache>
            </c:strRef>
          </c:cat>
          <c:val>
            <c:numRef>
              <c:f>Sheet1!$B$2:$B$5</c:f>
              <c:numCache>
                <c:formatCode>General</c:formatCode>
                <c:ptCount val="4"/>
                <c:pt idx="0">
                  <c:v>3404.41</c:v>
                </c:pt>
                <c:pt idx="1">
                  <c:v>2133.4</c:v>
                </c:pt>
                <c:pt idx="2">
                  <c:v>28.82</c:v>
                </c:pt>
                <c:pt idx="3">
                  <c:v>0</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556962025316456"/>
                  <c:y val="0.04499437570303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84586334708721"/>
                  <c:y val="0.061503449172189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303867403314917"/>
                  <c:y val="0.06102522375915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c:v>
                </c:pt>
                <c:pt idx="1">
                  <c:v>年初预算</c:v>
                </c:pt>
                <c:pt idx="2">
                  <c:v>国有资本经营预算</c:v>
                </c:pt>
                <c:pt idx="3">
                  <c:v>国有资本年初预算</c:v>
                </c:pt>
              </c:strCache>
            </c:strRef>
          </c:cat>
          <c:val>
            <c:numRef>
              <c:f>Sheet1!$C$2:$C$5</c:f>
              <c:numCache>
                <c:formatCode>General</c:formatCode>
                <c:ptCount val="4"/>
                <c:pt idx="0">
                  <c:v>3131.6</c:v>
                </c:pt>
                <c:pt idx="1">
                  <c:v>2133.4</c:v>
                </c:pt>
                <c:pt idx="2">
                  <c:v>65.65</c:v>
                </c:pt>
                <c:pt idx="3">
                  <c:v>0</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Sheet1!$A$2:$A$5</c:f>
              <c:strCache>
                <c:ptCount val="4"/>
                <c:pt idx="0">
                  <c:v>一般公共预算财政</c:v>
                </c:pt>
                <c:pt idx="1">
                  <c:v>年初预算</c:v>
                </c:pt>
                <c:pt idx="2">
                  <c:v>国有资本经营预算</c:v>
                </c:pt>
                <c:pt idx="3">
                  <c:v>国有资本年初预算</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848154305"/>
        <c:axId val="940526533"/>
      </c:barChart>
      <c:catAx>
        <c:axId val="84815430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40526533"/>
        <c:crosses val="autoZero"/>
        <c:auto val="1"/>
        <c:lblAlgn val="ctr"/>
        <c:lblOffset val="100"/>
        <c:noMultiLvlLbl val="0"/>
      </c:catAx>
      <c:valAx>
        <c:axId val="94052653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154305"/>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2023年度财政拨款支出情况</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3"/>
              <c:layout>
                <c:manualLayout>
                  <c:x val="0.06431778825712"/>
                  <c:y val="-0.005685487382239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一般公共服务（类）</c:v>
                </c:pt>
                <c:pt idx="1">
                  <c:v>农林水（类）</c:v>
                </c:pt>
                <c:pt idx="2">
                  <c:v>灾害防治及应急管理（类）</c:v>
                </c:pt>
                <c:pt idx="3">
                  <c:v>国有资本经营类</c:v>
                </c:pt>
              </c:strCache>
            </c:strRef>
          </c:cat>
          <c:val>
            <c:numRef>
              <c:f>Sheet1!$B$2:$B$5</c:f>
              <c:numCache>
                <c:formatCode>General</c:formatCode>
                <c:ptCount val="4"/>
                <c:pt idx="0">
                  <c:v>921.19</c:v>
                </c:pt>
                <c:pt idx="1">
                  <c:v>2137.47</c:v>
                </c:pt>
                <c:pt idx="2">
                  <c:v>7.28</c:v>
                </c:pt>
                <c:pt idx="3">
                  <c:v>65.65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6B5788-31E7-476E-832D-AA84815C83D2}">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30</Pages>
  <Words>2034</Words>
  <Characters>11594</Characters>
  <Lines>96</Lines>
  <Paragraphs>27</Paragraphs>
  <TotalTime>5</TotalTime>
  <ScaleCrop>false</ScaleCrop>
  <LinksUpToDate>false</LinksUpToDate>
  <CharactersWithSpaces>13601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2024-10-31T05:35:00Z</dcterms:created>
  <dc:creator>王明新TIAD</dc:creator>
  <cp:lastModifiedBy>好好学习i</cp:lastModifiedBy>
  <cp:lastPrinted>2023-08-04T01:00:00Z</cp:lastPrinted>
  <dcterms:modified xsi:type="dcterms:W3CDTF">2024-11-11T11:12:24Z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UUID">
    <vt:lpwstr>v1.0_mb_S7ajbG3IpAnL1wSthNCxfw==</vt:lpwstr>
  </property>
  <property fmtid="{D5CDD505-2E9C-101B-9397-08002B2CF9AE}" pid="4" name="ICV">
    <vt:lpwstr>E82431D9AEBA49719F8B8DF7F25CF7BE_13</vt:lpwstr>
  </property>
  <property fmtid="{D5CDD505-2E9C-101B-9397-08002B2CF9AE}" pid="5" name="EagleCloud">
    <vt:lpwstr>{"watermark_type":"track","current_time":"2024-11-03 09:59:41","employee_id":"emp_2cf78fde-c6b7-4467-9be8-698a76682ec3","agent_id":"b022d42a6d0d48d3ef0cc3ef4943a6367479f54f3eabcc1d9add6c91a2ba8c02","process":"WINWORD.EXE","custom_content":"吉利汽车","total_content":"{{current_time}}-emp_2cf78fde-c6b7-4467-9be8-698a76682ec3-b022d42a6d0d48d3ef0cc3ef4943a6367479f54f3eabcc1d9add6c91a2ba8c02-{{process}}-吉利汽车"}</vt:lpwstr>
  </property>
</Properties>
</file>