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怀来县工商业联合会</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方正楷体_GBK" w:hAnsi="方正楷体_GBK" w:eastAsia="方正楷体_GBK" w:cs="方正楷体_GBK"/>
          <w:b/>
          <w:color w:val="000000"/>
          <w:sz w:val="32"/>
        </w:rPr>
        <w:t>怀来县工商业联合会编制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spacing w:before="0" w:after="0" w:line="240" w:lineRule="auto"/>
        <w:ind w:firstLine="0"/>
        <w:jc w:val="center"/>
        <w:outlineLvl w:val="9"/>
        <w:sectPr>
          <w:pgSz w:w="11900" w:h="16840"/>
          <w:pgMar w:top="1984" w:right="1304" w:bottom="1134" w:left="130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6</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1.怀财字【2025】7号 专项公用经费绩效目标表</w:t>
      </w:r>
      <w:r>
        <w:tab/>
      </w:r>
      <w:r>
        <w:fldChar w:fldCharType="begin"/>
      </w:r>
      <w:r>
        <w:instrText xml:space="preserve">PAGEREF _Toc_4_4_0000000004 \h</w:instrText>
      </w:r>
      <w:r>
        <w:fldChar w:fldCharType="separate"/>
      </w:r>
      <w:r>
        <w:t>9</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以习近平新时代中国特色社会主义思想为指导，</w:t>
      </w:r>
      <w:r>
        <w:rPr>
          <w:rFonts w:hint="eastAsia"/>
          <w:lang w:eastAsia="zh-CN"/>
        </w:rPr>
        <w:t>深入贯彻党的二十大和二十届三中全会精神</w:t>
      </w:r>
      <w:r>
        <w:t>，坚持“两个毫不动摇”，围绕促进“两个健康”工作主题，充分发挥工商联的桥梁、纽带和助手作用，引导民营经济人士不断提升理想境界，厚植家国情怀，深刻领会和把握积极推动民营经济发展各项政策加速落地的指示要求，健全支持民营企业发展新质生产力工作机制，强化各项惠企服务，助力企业破解发展中的难题和挑战。锚定高质量发展目标不放松，努力协助民营企业在各自领域锐意进取、拼搏出彩，以实际行动为中国式现代化作出新的更大的贡献。</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（一）激活党建工作引擎，驱动“两个健康”发展</w:t>
      </w:r>
    </w:p>
    <w:p>
      <w:pPr>
        <w:pStyle w:val="9"/>
      </w:pPr>
      <w:r>
        <w:t xml:space="preserve">绩效目标：通过强化党建引领，提升民营经济人士的思想政治觉悟，推动非公有制经济健康发展和非公有制经济人士健康成长，增强党组织在民营企业中的凝聚力和影响力。 </w:t>
      </w:r>
    </w:p>
    <w:p>
      <w:pPr>
        <w:pStyle w:val="9"/>
      </w:pPr>
      <w:r>
        <w:t>绩效指标：</w:t>
      </w:r>
    </w:p>
    <w:p>
      <w:pPr>
        <w:pStyle w:val="9"/>
      </w:pPr>
      <w:r>
        <w:t>1.组织开展理想信念教育活动，邀请党校专家、党建工作先进代表等进行授课和经验分享，引导民营经济人士深入学习党的理论和方针政策。全年计划组织不少于2次大型专题教育活动，每次参与人数不少于100人。</w:t>
      </w:r>
    </w:p>
    <w:p>
      <w:pPr>
        <w:pStyle w:val="9"/>
      </w:pPr>
      <w:r>
        <w:t xml:space="preserve">2.年内计划发展党员不少于10人，确定发展对象不少于20人，培养入党积极分子不少于30人。通过党建全覆盖引领企业听党话跟党走。建立与民营企业党组织常态化沟通机制，每月至少走访2家企业组织，了解企业情况和需求，帮助解决实际问题，促进党建工作与企业发展深度融合。 </w:t>
      </w:r>
    </w:p>
    <w:p>
      <w:pPr>
        <w:pStyle w:val="9"/>
      </w:pPr>
      <w:r>
        <w:t xml:space="preserve">3.开展“党建引领示范企业”评选活动，树立一批党建工作突出、企业发展良好的典型，通过举办经验交流会、宣传报道、企业实地参观等方式，推广先进经验，以点带面推动民营企业党建工作整体提升。 </w:t>
      </w:r>
    </w:p>
    <w:p>
      <w:pPr>
        <w:pStyle w:val="9"/>
      </w:pPr>
      <w:r>
        <w:t>（二）搭建多元服务平台，助力企业破局前行</w:t>
      </w:r>
    </w:p>
    <w:p>
      <w:pPr>
        <w:pStyle w:val="9"/>
      </w:pPr>
      <w:r>
        <w:t xml:space="preserve">绩效目标：构建全方位、多层次的服务平台体系，为企业提供精准、高效的服务，帮助企业解决发展中的难题，促进企业转型升级和创新发展。 </w:t>
      </w:r>
    </w:p>
    <w:p>
      <w:pPr>
        <w:pStyle w:val="9"/>
      </w:pPr>
      <w:r>
        <w:t>绩效指标：</w:t>
      </w:r>
    </w:p>
    <w:p>
      <w:pPr>
        <w:pStyle w:val="9"/>
      </w:pPr>
      <w:r>
        <w:t>1.搭建政企沟通平台。建立健全与政府部门的定期沟通协调机制，每季度至少组织一次政府部门与</w:t>
      </w:r>
      <w:r>
        <w:rPr>
          <w:rFonts w:hint="eastAsia"/>
          <w:lang w:eastAsia="zh-CN"/>
        </w:rPr>
        <w:t>民营企业座谈会</w:t>
      </w:r>
      <w:r>
        <w:t>，及时反映企业诉求，协调解决企业发展中的困难和问题，特别是在项目审批、土地使用、融资贷款等方面。积极参与政府相关政策的制定和调研工作，代表民营企业发声，为政策制定提供科学依据，确保政策更加符合民营经济发展实际。</w:t>
      </w:r>
    </w:p>
    <w:p>
      <w:pPr>
        <w:pStyle w:val="9"/>
      </w:pPr>
      <w:r>
        <w:t xml:space="preserve">2.完善政策服务平台。及时收集、整理和发布国家、省、市、县出台的各类惠企政策，通过举办政策解读会、线上政策推送等方式，确保企业及时了解并享受政策红利。全年举办政策解读会不少于2场。 </w:t>
      </w:r>
    </w:p>
    <w:p>
      <w:pPr>
        <w:pStyle w:val="9"/>
      </w:pPr>
      <w:r>
        <w:t>3.强化金融服务平台。加强与银行、担保机构等金融机构的合作，每季度组织一次银企融资洽谈会，开展金融知识培训和风险防范教育，邀请金融专家为企业讲解金融政策、融资技巧以及防范金融风险的方法，提高企业金融素养和风险应对能力。建立民营企业融资需求数据库，为企业提供个性化的融资方案。帮助企业拓宽融资渠道，优化融资结构。争取金融机构为会员企业提供更优惠的贷款利率和更便捷的融资服务。全年帮助企业获得融资支持较上一年度增长10%</w:t>
      </w:r>
      <w:bookmarkStart w:id="4" w:name="_GoBack"/>
      <w:bookmarkEnd w:id="4"/>
      <w:r>
        <w:rPr>
          <w:rFonts w:hint="eastAsia"/>
          <w:lang w:eastAsia="zh-CN"/>
        </w:rPr>
        <w:t>以上</w:t>
      </w:r>
      <w:r>
        <w:t>。</w:t>
      </w:r>
    </w:p>
    <w:p>
      <w:pPr>
        <w:pStyle w:val="9"/>
      </w:pPr>
      <w:r>
        <w:t xml:space="preserve">4.搭建人才服务平台。与高校、职业院校、人力资源机构等合作，举办招聘会、人才对接会等活动，为企业引进各类专业人才。同时，开展企业人才培训计划，根据企业需求定制培训课程，提升企业人才素质。全年组织招聘会和人才对接会不少于2场，培训企业人才不少于300人次。 </w:t>
      </w:r>
    </w:p>
    <w:p>
      <w:pPr>
        <w:pStyle w:val="9"/>
      </w:pPr>
      <w:r>
        <w:t>5.搭建产业转型升级平台。根据地方产业发展规划，引导会员企业向高端制造、智能制造、绿色制造、人工智能、机器人、软件研发等高科技领域转型。组织行业专家对企业进行产业分析和指导，制定个性化的转型升级方案，全年为不少于3家企业提供产业转型指导服务。</w:t>
      </w:r>
    </w:p>
    <w:p>
      <w:pPr>
        <w:pStyle w:val="9"/>
      </w:pPr>
      <w:r>
        <w:t>6.搭建产业链共生平台。推动产业链上下游企业之间的协作配套，加强产业集群建设。通过组织产业链对接会、企业互访等活动，促进企业之间的信息共享和资源整合，提高产业整体竞争力。</w:t>
      </w:r>
    </w:p>
    <w:p>
      <w:pPr>
        <w:pStyle w:val="9"/>
      </w:pPr>
      <w:r>
        <w:t>7.搭建企业拓展市场平台。组织会员企业参加国内外各类知名展会、经贸洽谈会，帮助企业拓展国内外市场。2025年计划组织企业参加2个国内展会和1个国际展会，协助企业展示产品、寻找商机、建立合作关系。</w:t>
      </w:r>
    </w:p>
    <w:p>
      <w:pPr>
        <w:pStyle w:val="9"/>
      </w:pPr>
      <w:r>
        <w:t>8.搭建企业创新发展平台。建立科技服务对接机制，与高校、科研机构合作，为会员企业提供技术咨询、成果转化等服务。全年至少组织2次科技成果对接会，促成不少于2项产学研合作项目。鼓励企业加大研发投入，协助符合条件的企业申报科技创新奖励和补贴，组织开展企业创新能力培训，提高企业创新意识和创新管理水平。</w:t>
      </w:r>
    </w:p>
    <w:p>
      <w:pPr>
        <w:pStyle w:val="9"/>
      </w:pPr>
      <w:r>
        <w:t>（三）聚焦特色商会建设，增强商会发展活力</w:t>
      </w:r>
    </w:p>
    <w:p>
      <w:pPr>
        <w:pStyle w:val="9"/>
      </w:pPr>
      <w:r>
        <w:t xml:space="preserve">绩效目标：打造一批具有怀来县特色的商会组织，提升商会的服务能力和影响力，充分发挥商会在行业自律、资源整合、交流合作等方面的作用。 </w:t>
      </w:r>
    </w:p>
    <w:p>
      <w:pPr>
        <w:pStyle w:val="9"/>
      </w:pPr>
      <w:r>
        <w:t>绩效指标：</w:t>
      </w:r>
    </w:p>
    <w:p>
      <w:pPr>
        <w:pStyle w:val="9"/>
      </w:pPr>
      <w:r>
        <w:t xml:space="preserve">1.建立健全会员管理、财务管理、会议制度等，提高商会规范化运作水平。全年新培育成立1-2家行业商会或异地商会。 </w:t>
      </w:r>
    </w:p>
    <w:p>
      <w:pPr>
        <w:pStyle w:val="9"/>
      </w:pPr>
      <w:r>
        <w:t>2.开展商会特色活动，鼓励商会根据自身行业特点和会员需求，举办行业论坛、技术交流、商务考察等活动，增强商会的凝聚力和吸引力。每个商会每年举办特色活动1-2次。</w:t>
      </w:r>
    </w:p>
    <w:p>
      <w:pPr>
        <w:pStyle w:val="9"/>
      </w:pPr>
      <w:r>
        <w:t xml:space="preserve">3.推动商会间的交流合作，组织商会与其他地区商会开展互访活动，建立友好合作关系，促进资源共享、优势互补。全年组织商会互访活动不少于2次。 </w:t>
      </w:r>
    </w:p>
    <w:p>
      <w:pPr>
        <w:pStyle w:val="9"/>
      </w:pPr>
      <w:r>
        <w:t xml:space="preserve">（四）助力优化营商环境，护航企业发展之路 </w:t>
      </w:r>
    </w:p>
    <w:p>
      <w:pPr>
        <w:pStyle w:val="9"/>
      </w:pPr>
      <w:r>
        <w:t xml:space="preserve">绩效目标：积极参与营商环境建设，加强与政府部门的沟通协调，及时反映企业诉求，推动解决企业在生产经营中遇到的困难和问题，营造良好的营商环境。 </w:t>
      </w:r>
    </w:p>
    <w:p>
      <w:pPr>
        <w:pStyle w:val="9"/>
      </w:pPr>
      <w:r>
        <w:t>绩效指标：</w:t>
      </w:r>
    </w:p>
    <w:p>
      <w:pPr>
        <w:pStyle w:val="9"/>
      </w:pPr>
      <w:r>
        <w:t xml:space="preserve">1.建立营商环境恳谈机制，定期走访企业，收集企业对营商环境的意见和建议，形成报告，及时反馈给政府相关部门。每月开展一次“把脉问诊式”营商环境走访活动，全年走访企业不少于50家。 </w:t>
      </w:r>
    </w:p>
    <w:p>
      <w:pPr>
        <w:pStyle w:val="9"/>
      </w:pPr>
      <w:r>
        <w:t xml:space="preserve">2.加强与政府部门的沟通协作，建立常态化的沟通协调机制，定期召开联席会议，共同研究解决企业发展中的热点难点问题。全年召开联席会议不少于4次。 </w:t>
      </w:r>
    </w:p>
    <w:p>
      <w:pPr>
        <w:pStyle w:val="9"/>
      </w:pPr>
      <w:r>
        <w:t>3.开展企业维权服务，建立企业维权投诉平台，为企业提供法律咨询、</w:t>
      </w:r>
      <w:r>
        <w:rPr>
          <w:rFonts w:hint="eastAsia"/>
          <w:lang w:eastAsia="zh-CN"/>
        </w:rPr>
        <w:t>法律援助服务</w:t>
      </w:r>
      <w:r>
        <w:t>，维护企业合法权益。协同公检法司等部门设立民企立案绿色通道、涉企行政复议代理等服务。</w:t>
      </w:r>
    </w:p>
    <w:p>
      <w:pPr>
        <w:pStyle w:val="9"/>
      </w:pPr>
      <w:r>
        <w:t>（五）激励企业履责践诺，推优培树民企典范</w:t>
      </w:r>
    </w:p>
    <w:p>
      <w:pPr>
        <w:pStyle w:val="9"/>
      </w:pPr>
      <w:r>
        <w:t xml:space="preserve">绩效目标：引导企业积极履行社会责任，树立良好的企业形象，通过推优培树活动，表彰一批优秀民营企业和民营企业家，发挥示范引领作用。 </w:t>
      </w:r>
    </w:p>
    <w:p>
      <w:pPr>
        <w:pStyle w:val="9"/>
      </w:pPr>
      <w:r>
        <w:t>绩效指标：</w:t>
      </w:r>
    </w:p>
    <w:p>
      <w:pPr>
        <w:pStyle w:val="9"/>
      </w:pPr>
      <w:r>
        <w:t>1.推动 “万企兴万村” 创新实践，深化“万企兴万村”行动，引导会员企业创新帮扶模式，探索产业帮扶、消费帮扶、就业帮扶、公益帮扶等多种形式的有机结合。鼓励企业与乡村建立长期稳定的合作关系，打造一批具有示范效应的 “万企兴万村”典型项目和案例，培育 3 - 5 个示范项目。加强对帮扶项目的跟踪和指导，确保帮扶工作取得实效，助力乡村振兴战略实施。</w:t>
      </w:r>
    </w:p>
    <w:p>
      <w:pPr>
        <w:pStyle w:val="9"/>
      </w:pPr>
      <w:r>
        <w:t>2.组织开展“怀来县优秀民营企业”“怀来县优秀民营企业家”等评选表彰活动，对在履行社会责任、推动企业发展等方面表现突出的企业和个人进行表彰奖励。利用海选及网络</w:t>
      </w:r>
      <w:r>
        <w:rPr>
          <w:rFonts w:hint="eastAsia"/>
          <w:lang w:eastAsia="zh-CN"/>
        </w:rPr>
        <w:t>投票方式评选</w:t>
      </w:r>
      <w:r>
        <w:t xml:space="preserve">优秀民营企业10家、优秀民营企业家10名。 </w:t>
      </w:r>
    </w:p>
    <w:p>
      <w:pPr>
        <w:pStyle w:val="9"/>
      </w:pPr>
      <w:r>
        <w:t>3.加强对优秀企业和企业家的宣传推广，开展“谁是当代最可爱的人”优秀民营企业家创业故事征集活动和“凡人微光”访谈活动，将民营企业中涌现出的典型人物和先进事迹利用新媒体广泛宣传，弘扬企业家精神，树立标杆和榜样，引导全社会树立尊重企业家和劳动者的良好社会氛围。</w:t>
      </w:r>
    </w:p>
    <w:p>
      <w:pPr>
        <w:pStyle w:val="9"/>
      </w:pPr>
      <w:r>
        <w:t>（六）深化改革落实举措，开拓服务崭新局面</w:t>
      </w:r>
    </w:p>
    <w:p>
      <w:pPr>
        <w:pStyle w:val="9"/>
      </w:pPr>
      <w:r>
        <w:t>绩效目标：深化改革，将各项举措精准落地，以创新思维优化服务模式。开创服务的崭新局面，为发展注入强劲动力，提升效能与质量。</w:t>
      </w:r>
    </w:p>
    <w:p>
      <w:pPr>
        <w:pStyle w:val="9"/>
      </w:pPr>
      <w:r>
        <w:t>绩效指标：</w:t>
      </w:r>
    </w:p>
    <w:p>
      <w:pPr>
        <w:pStyle w:val="9"/>
      </w:pPr>
      <w:r>
        <w:t>1.优化“信贷云超市”板块内容，增加信贷知识普及和案例分析等内容。一是发布信贷基础知识，包括信贷的定义、种类、申请条件、还款方式等。二是发布信贷政策法规，帮助用户了解相关政策对信贷业务的影响。三是分享成功和失败的信贷案例，通过实际案例让企业更直观地了解信贷流程和注意事项。</w:t>
      </w:r>
    </w:p>
    <w:p>
      <w:pPr>
        <w:pStyle w:val="9"/>
      </w:pPr>
      <w:r>
        <w:t>2.拓展“供求信息港”覆盖面，进一步优化形式、拓展平台、丰富路径。一是指定专门的信息更新人员，建立实时监测和定期更新机制。二是重新规划页面的整体布局，完善清晰明了的醒目标签以及直观的图文展示方式，按照人员供求、产品供销、场所租售等分类条目，将供求信息突出展示。</w:t>
      </w:r>
    </w:p>
    <w:p>
      <w:pPr>
        <w:pStyle w:val="9"/>
      </w:pPr>
      <w:r>
        <w:t>3.简化“民企有话说”板块问题反馈流程，清晰分类问题和诉求，建立完善的跟踪和评估机制。一是指定专门的诉求处理人员，明确责任分工。二是制定详细的问题和诉求分类标准，包括政策咨询、经营困难、权益保护等。三是定期对处理结果进行评估，邀请企业对处理过程和结果进行满意度评价，针对不满意的主要原因和环节进行改进和优化。</w:t>
      </w:r>
    </w:p>
    <w:p>
      <w:pPr>
        <w:pStyle w:val="9"/>
      </w:pPr>
      <w:r>
        <w:t>（七）锚定争创方向，冲刺“全国五好标杆县级工商联”</w:t>
      </w:r>
    </w:p>
    <w:p>
      <w:pPr>
        <w:pStyle w:val="9"/>
      </w:pPr>
      <w:r>
        <w:t>绩效目标：明确方向，凝聚力量，以高度责任感和使命感，完善工作机制，提升服务效能，积极作为。鼓足干劲全力冲刺，为工商联事业发展添彩，争取获此殊荣。</w:t>
      </w:r>
    </w:p>
    <w:p>
      <w:pPr>
        <w:pStyle w:val="9"/>
      </w:pPr>
      <w:r>
        <w:t>绩效指标：</w:t>
      </w:r>
    </w:p>
    <w:p>
      <w:pPr>
        <w:pStyle w:val="9"/>
      </w:pPr>
      <w:r>
        <w:t>1.挖掘地方特色产业优势：结合怀来县的葡萄及葡萄酒产业、大数据产业、新能源产业等特色产业，发挥工商联的桥梁纽带作用，组织开展特色产业论坛、展会、招商推介等活动。每年举办1-2场具有影响力的特色产业活动，吸引国内外相关企业和机构的关注，提升怀来县特色产业的知名度和影响力。</w:t>
      </w:r>
    </w:p>
    <w:p>
      <w:pPr>
        <w:pStyle w:val="9"/>
      </w:pPr>
      <w:r>
        <w:t>2.加强宣传推广工作：建立健全宣传工作机制，加强与主流媒体、行业媒体的合作，充分利用网站、微信公众号、微博等新媒体平台，及时宣传怀来县工商联的工作动态、会员企业的先进事迹、特色活动等内容。每月发布高质量的宣传稿件不少于 1篇，打造具有影响力的怀来工商联宣传品牌，提升怀来县工商联的社会知名度和美誉度。</w:t>
      </w:r>
    </w:p>
    <w:p>
      <w:pPr>
        <w:pStyle w:val="9"/>
      </w:pPr>
      <w:r>
        <w:rPr>
          <w:rFonts w:hint="eastAsia"/>
          <w:lang w:eastAsia="zh-CN"/>
        </w:rPr>
        <w:t>2025年是“十四五”规划收官之年</w:t>
      </w:r>
      <w:r>
        <w:t>，更是“十五五”开篇谋局之年。县域经济和企业全面振兴其时已至、其势已成、其兴可待，怀来工商联的会员企业完全有基础、有条件、有实力在怀来振兴中发挥好龙头和骨干作用、展现更大担当和作为；怀来的民营经济人士完全有志气、有骨气、有底气在强国建设、民族复兴新征程中重振雄风、再创佳绩。</w:t>
      </w:r>
    </w:p>
    <w:p>
      <w:pPr>
        <w:pStyle w:val="9"/>
      </w:pPr>
      <w:r>
        <w:t>催征鼓已经擂起，冲锋号业已吹响。怀来县工商联将以“开局就要战斗，全年都要攻坚”的态度，着力改进作风，以自我革命的魄力、时不我待的压力、驰而不息的毅力、拼抢争实的动力、求真务实的定力破冰除障，为振兴怀来经济作出更大的努力。</w:t>
      </w: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一）完善制度建设。制定预算绩效管理制度，明确从目标设定到结果应用的全流程规范；修订资金管理办法，确保资金使用合规高效；建立健全工作保障制度，涵盖人员管理、物资调配等方面，为绩效目标达成筑牢制度根基。</w:t>
      </w:r>
    </w:p>
    <w:p>
      <w:pPr>
        <w:pStyle w:val="10"/>
      </w:pPr>
    </w:p>
    <w:p>
      <w:pPr>
        <w:pStyle w:val="10"/>
      </w:pPr>
      <w:r>
        <w:t>（二）加强支出管理。合理规划支出结构，优先保障组织建设、服务企业等核心业务。细化预算编制，精确到具体项目和明细。</w:t>
      </w:r>
    </w:p>
    <w:p>
      <w:pPr>
        <w:pStyle w:val="10"/>
      </w:pPr>
    </w:p>
    <w:p>
      <w:pPr>
        <w:pStyle w:val="10"/>
      </w:pPr>
      <w:r>
        <w:t>（三）加强绩效运行监控。按季度对各分项绩效目标的执行情况进行监控，包括活动开展进度、资金使用流向、服务企业成效等。建立问题反馈机制，一旦发现偏差，及时分析原因并采取针对性措施进行调整，确保绩效目标顺利实现。</w:t>
      </w:r>
    </w:p>
    <w:p>
      <w:pPr>
        <w:pStyle w:val="10"/>
      </w:pPr>
    </w:p>
    <w:p>
      <w:pPr>
        <w:pStyle w:val="10"/>
      </w:pPr>
      <w:r>
        <w:t>（四）做好绩效自评。认真开展上年度部门预算绩效自评和重点评价工作。针对评价中暴露出的问题，制定详细整改方案，明确责任人和整改时限。通过整改，优化支出结构，提高财政资金使用效益。</w:t>
      </w:r>
    </w:p>
    <w:p>
      <w:pPr>
        <w:pStyle w:val="10"/>
      </w:pPr>
    </w:p>
    <w:p>
      <w:pPr>
        <w:pStyle w:val="10"/>
      </w:pPr>
      <w:r>
        <w:t>（五）规范财务资金管理。完善财务管理制度，严格审批流程，实行财务报销 “双审” 制。加强固定资产登记、清查和报废处置管理，建立资产动态管理台账，做到账实相符，资产合理利用。</w:t>
      </w:r>
    </w:p>
    <w:p>
      <w:pPr>
        <w:pStyle w:val="10"/>
      </w:pPr>
    </w:p>
    <w:p>
      <w:pPr>
        <w:pStyle w:val="10"/>
      </w:pPr>
      <w:r>
        <w:t>（六）加强内部监督。建立内部监督小组，对绩效运行、重大支出决策、资产处置等关键环节进行全程督导。定期开展内部审计，对会计资料进行全面审查。积极配合审计、财政监督等外部监督工作，确保财政资金安全。</w:t>
      </w:r>
    </w:p>
    <w:p>
      <w:pPr>
        <w:pStyle w:val="10"/>
      </w:pPr>
    </w:p>
    <w:p>
      <w:pPr>
        <w:pStyle w:val="10"/>
      </w:pPr>
      <w:r>
        <w:t>（七）加强宣传培训调研。定期组织内部人员培训，提升职工业务素质。深入企业调研，形成有价值的调研成果并及时转化应用。通过线上线下多种渠道宣传预算绩效管理，增强全员绩效意识，提升整体管理水平。</w:t>
      </w:r>
    </w:p>
    <w:p>
      <w:pPr>
        <w:pStyle w:val="10"/>
      </w:pPr>
    </w:p>
    <w:p>
      <w:pPr>
        <w:pStyle w:val="10"/>
      </w:pPr>
    </w:p>
    <w:p>
      <w:pPr>
        <w:pStyle w:val="10"/>
      </w:pPr>
    </w:p>
    <w:p>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1.怀财字【2025】7号 专项公用经费绩效目标表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714001怀来县工商业联合会</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13073025P00084310001K</w:t>
            </w:r>
          </w:p>
        </w:tc>
        <w:tc>
          <w:tcPr>
            <w:tcW w:w="1587" w:type="dxa"/>
            <w:vAlign w:val="center"/>
          </w:tcPr>
          <w:p>
            <w:pPr>
              <w:pStyle w:val="14"/>
            </w:pPr>
            <w:r>
              <w:t>项目名称</w:t>
            </w:r>
          </w:p>
        </w:tc>
        <w:tc>
          <w:tcPr>
            <w:tcW w:w="4423" w:type="dxa"/>
            <w:gridSpan w:val="3"/>
            <w:vAlign w:val="center"/>
          </w:tcPr>
          <w:p>
            <w:pPr>
              <w:pStyle w:val="13"/>
            </w:pPr>
            <w:r>
              <w:t>怀财字【2025】7号 专项公用经费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24.00</w:t>
            </w:r>
          </w:p>
        </w:tc>
        <w:tc>
          <w:tcPr>
            <w:tcW w:w="1587" w:type="dxa"/>
            <w:vAlign w:val="center"/>
          </w:tcPr>
          <w:p>
            <w:pPr>
              <w:pStyle w:val="14"/>
            </w:pPr>
            <w:r>
              <w:t>其中：财政    资金</w:t>
            </w:r>
          </w:p>
        </w:tc>
        <w:tc>
          <w:tcPr>
            <w:tcW w:w="1304" w:type="dxa"/>
            <w:vAlign w:val="center"/>
          </w:tcPr>
          <w:p>
            <w:pPr>
              <w:pStyle w:val="13"/>
            </w:pPr>
            <w:r>
              <w:t>24.00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怀财字【2025】7号 专项公用经费项目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30%</w:t>
            </w:r>
          </w:p>
        </w:tc>
        <w:tc>
          <w:tcPr>
            <w:tcW w:w="1304" w:type="dxa"/>
            <w:vAlign w:val="center"/>
          </w:tcPr>
          <w:p>
            <w:pPr>
              <w:pStyle w:val="15"/>
            </w:pPr>
            <w:r>
              <w:t>30%</w:t>
            </w:r>
          </w:p>
        </w:tc>
        <w:tc>
          <w:tcPr>
            <w:tcW w:w="3119" w:type="dxa"/>
            <w:gridSpan w:val="2"/>
            <w:vAlign w:val="center"/>
          </w:tcPr>
          <w:p>
            <w:pPr>
              <w:pStyle w:val="15"/>
            </w:pPr>
            <w:r>
              <w:t>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1.怀财字【2025】7号  专项公用经费</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举办交流会、研讨会等</w:t>
            </w:r>
          </w:p>
        </w:tc>
        <w:tc>
          <w:tcPr>
            <w:tcW w:w="2891" w:type="dxa"/>
            <w:vAlign w:val="center"/>
          </w:tcPr>
          <w:p>
            <w:pPr>
              <w:pStyle w:val="13"/>
            </w:pPr>
            <w:r>
              <w:t>为会员搭建服务平台，维护会员合法权益。</w:t>
            </w:r>
          </w:p>
        </w:tc>
        <w:tc>
          <w:tcPr>
            <w:tcW w:w="1276" w:type="dxa"/>
            <w:vAlign w:val="center"/>
          </w:tcPr>
          <w:p>
            <w:pPr>
              <w:pStyle w:val="13"/>
            </w:pPr>
            <w:r>
              <w:t>≤2次数</w:t>
            </w:r>
          </w:p>
        </w:tc>
        <w:tc>
          <w:tcPr>
            <w:tcW w:w="1843" w:type="dxa"/>
            <w:vAlign w:val="center"/>
          </w:tcPr>
          <w:p>
            <w:pPr>
              <w:pStyle w:val="13"/>
            </w:pPr>
            <w:r>
              <w:t>2024年度工作计划。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各项工作完成率</w:t>
            </w:r>
          </w:p>
        </w:tc>
        <w:tc>
          <w:tcPr>
            <w:tcW w:w="2891" w:type="dxa"/>
            <w:vAlign w:val="center"/>
          </w:tcPr>
          <w:p>
            <w:pPr>
              <w:pStyle w:val="13"/>
            </w:pPr>
            <w:r>
              <w:t>为会员搭建服务平台，维护会员合法权益。提升参政议政水平，为国家治理和社会发展建言献策。</w:t>
            </w:r>
          </w:p>
        </w:tc>
        <w:tc>
          <w:tcPr>
            <w:tcW w:w="1276" w:type="dxa"/>
            <w:vAlign w:val="center"/>
          </w:tcPr>
          <w:p>
            <w:pPr>
              <w:pStyle w:val="13"/>
            </w:pPr>
            <w:r>
              <w:t>100百分比</w:t>
            </w:r>
          </w:p>
        </w:tc>
        <w:tc>
          <w:tcPr>
            <w:tcW w:w="1843" w:type="dxa"/>
            <w:vAlign w:val="center"/>
          </w:tcPr>
          <w:p>
            <w:pPr>
              <w:pStyle w:val="13"/>
            </w:pPr>
            <w:r>
              <w:t>2024年度工作计划。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各项工作完成时间</w:t>
            </w:r>
          </w:p>
        </w:tc>
        <w:tc>
          <w:tcPr>
            <w:tcW w:w="2891" w:type="dxa"/>
            <w:vAlign w:val="center"/>
          </w:tcPr>
          <w:p>
            <w:pPr>
              <w:pStyle w:val="13"/>
            </w:pPr>
            <w:r>
              <w:t>2025年内完成所有项目工作</w:t>
            </w:r>
          </w:p>
        </w:tc>
        <w:tc>
          <w:tcPr>
            <w:tcW w:w="1276" w:type="dxa"/>
            <w:vAlign w:val="center"/>
          </w:tcPr>
          <w:p>
            <w:pPr>
              <w:pStyle w:val="13"/>
            </w:pPr>
            <w:r>
              <w:t>及时性</w:t>
            </w:r>
          </w:p>
        </w:tc>
        <w:tc>
          <w:tcPr>
            <w:tcW w:w="1843" w:type="dxa"/>
            <w:vAlign w:val="center"/>
          </w:tcPr>
          <w:p>
            <w:pPr>
              <w:pStyle w:val="13"/>
            </w:pPr>
            <w:r>
              <w:t>2024年历史经验。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项目总体成本</w:t>
            </w:r>
          </w:p>
        </w:tc>
        <w:tc>
          <w:tcPr>
            <w:tcW w:w="2891" w:type="dxa"/>
            <w:vAlign w:val="center"/>
          </w:tcPr>
          <w:p>
            <w:pPr>
              <w:pStyle w:val="13"/>
            </w:pPr>
            <w:r>
              <w:t>项目总体成本</w:t>
            </w:r>
          </w:p>
        </w:tc>
        <w:tc>
          <w:tcPr>
            <w:tcW w:w="1276" w:type="dxa"/>
            <w:vAlign w:val="center"/>
          </w:tcPr>
          <w:p>
            <w:pPr>
              <w:pStyle w:val="13"/>
            </w:pPr>
            <w:r>
              <w:t>节约</w:t>
            </w:r>
          </w:p>
        </w:tc>
        <w:tc>
          <w:tcPr>
            <w:tcW w:w="1843" w:type="dxa"/>
            <w:vAlign w:val="center"/>
          </w:tcPr>
          <w:p>
            <w:pPr>
              <w:pStyle w:val="13"/>
            </w:pPr>
            <w:r>
              <w:t>合理支出、勤俭节约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社会影响力</w:t>
            </w:r>
          </w:p>
        </w:tc>
        <w:tc>
          <w:tcPr>
            <w:tcW w:w="2891" w:type="dxa"/>
            <w:vAlign w:val="center"/>
          </w:tcPr>
          <w:p>
            <w:pPr>
              <w:pStyle w:val="13"/>
            </w:pPr>
            <w:r>
              <w:t>在全县产生的重要影响，得到广大会员的充分认可。</w:t>
            </w:r>
          </w:p>
        </w:tc>
        <w:tc>
          <w:tcPr>
            <w:tcW w:w="1276" w:type="dxa"/>
            <w:vAlign w:val="center"/>
          </w:tcPr>
          <w:p>
            <w:pPr>
              <w:pStyle w:val="13"/>
            </w:pPr>
            <w:r>
              <w:t>≥70百分比</w:t>
            </w:r>
          </w:p>
        </w:tc>
        <w:tc>
          <w:tcPr>
            <w:tcW w:w="1843" w:type="dxa"/>
            <w:vAlign w:val="center"/>
          </w:tcPr>
          <w:p>
            <w:pPr>
              <w:pStyle w:val="13"/>
            </w:pPr>
            <w:r>
              <w:t>问卷调查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社会影响力</w:t>
            </w:r>
          </w:p>
        </w:tc>
        <w:tc>
          <w:tcPr>
            <w:tcW w:w="2891" w:type="dxa"/>
            <w:vAlign w:val="center"/>
          </w:tcPr>
          <w:p>
            <w:pPr>
              <w:pStyle w:val="13"/>
            </w:pPr>
            <w:r>
              <w:t>在全县产生的重要影响，得到广大会员服务对象的充分认可</w:t>
            </w:r>
          </w:p>
        </w:tc>
        <w:tc>
          <w:tcPr>
            <w:tcW w:w="1276" w:type="dxa"/>
            <w:vAlign w:val="center"/>
          </w:tcPr>
          <w:p>
            <w:pPr>
              <w:pStyle w:val="13"/>
            </w:pPr>
            <w:r>
              <w:t>≥70百分比</w:t>
            </w:r>
          </w:p>
        </w:tc>
        <w:tc>
          <w:tcPr>
            <w:tcW w:w="1843" w:type="dxa"/>
            <w:vAlign w:val="center"/>
          </w:tcPr>
          <w:p>
            <w:pPr>
              <w:pStyle w:val="13"/>
            </w:pPr>
            <w:r>
              <w:t>问卷调查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社会影响力</w:t>
            </w:r>
          </w:p>
        </w:tc>
        <w:tc>
          <w:tcPr>
            <w:tcW w:w="2891" w:type="dxa"/>
            <w:vAlign w:val="center"/>
          </w:tcPr>
          <w:p>
            <w:pPr>
              <w:pStyle w:val="13"/>
            </w:pPr>
            <w:r>
              <w:t>在全县产生的重要影响，得到县委县政府的充分认可</w:t>
            </w:r>
          </w:p>
        </w:tc>
        <w:tc>
          <w:tcPr>
            <w:tcW w:w="1276" w:type="dxa"/>
            <w:vAlign w:val="center"/>
          </w:tcPr>
          <w:p>
            <w:pPr>
              <w:pStyle w:val="13"/>
            </w:pPr>
            <w:r>
              <w:t>100百分比</w:t>
            </w:r>
          </w:p>
        </w:tc>
        <w:tc>
          <w:tcPr>
            <w:tcW w:w="1843" w:type="dxa"/>
            <w:vAlign w:val="center"/>
          </w:tcPr>
          <w:p>
            <w:pPr>
              <w:pStyle w:val="13"/>
            </w:pPr>
            <w:r>
              <w:t>做好各项机关运行保障工作及承办县委县政府交付的有关工作，保障各项工作的顺利进行。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服务对象满意度指标</w:t>
            </w:r>
          </w:p>
        </w:tc>
        <w:tc>
          <w:tcPr>
            <w:tcW w:w="2891" w:type="dxa"/>
            <w:vAlign w:val="center"/>
          </w:tcPr>
          <w:p>
            <w:pPr>
              <w:pStyle w:val="13"/>
            </w:pPr>
            <w:r>
              <w:t>服务对象满意度</w:t>
            </w:r>
          </w:p>
        </w:tc>
        <w:tc>
          <w:tcPr>
            <w:tcW w:w="1276" w:type="dxa"/>
            <w:vAlign w:val="center"/>
          </w:tcPr>
          <w:p>
            <w:pPr>
              <w:pStyle w:val="13"/>
            </w:pPr>
            <w:r>
              <w:t>≥70百分比</w:t>
            </w:r>
          </w:p>
        </w:tc>
        <w:tc>
          <w:tcPr>
            <w:tcW w:w="1843" w:type="dxa"/>
            <w:vAlign w:val="center"/>
          </w:tcPr>
          <w:p>
            <w:pPr>
              <w:pStyle w:val="13"/>
            </w:pPr>
            <w:r>
              <w:t>问卷调查</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FD82E83"/>
    <w:rsid w:val="756316E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TotalTime>3</TotalTime>
  <ScaleCrop>false</ScaleCrop>
  <LinksUpToDate>false</LinksUpToDate>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2025-03-13T10:13:00Z</dcterms:created>
  <dc:creator>lenovo</dc:creator>
  <cp:lastModifiedBy>秋天</cp:lastModifiedBy>
  <dcterms:modified xsi:type="dcterms:W3CDTF">2025-03-27T01:59:03Z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34DE7C9B8ABA4AF097E4816F640FD354</vt:lpwstr>
  </property>
</Properties>
</file>