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2007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F229C6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1AE268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4561BC3">
      <w:pPr>
        <w:spacing w:before="0" w:after="0" w:line="240" w:lineRule="auto"/>
        <w:ind w:firstLine="0"/>
        <w:jc w:val="center"/>
        <w:outlineLvl w:val="9"/>
      </w:pPr>
      <w:r>
        <w:rPr>
          <w:rFonts w:ascii="方正小标宋_GBK" w:hAnsi="方正小标宋_GBK" w:eastAsia="方正小标宋_GBK" w:cs="方正小标宋_GBK"/>
          <w:color w:val="000000"/>
          <w:sz w:val="72"/>
        </w:rPr>
        <w:t>怀来县信访局</w:t>
      </w:r>
    </w:p>
    <w:p w14:paraId="395E0609">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47F0D210">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06DED8DA">
      <w:pPr>
        <w:spacing w:before="0" w:after="0" w:line="240" w:lineRule="auto"/>
        <w:ind w:firstLine="0"/>
        <w:jc w:val="center"/>
        <w:outlineLvl w:val="9"/>
      </w:pPr>
      <w:r>
        <w:rPr>
          <w:rFonts w:ascii="宋体" w:hAnsi="宋体" w:eastAsia="宋体" w:cs="宋体"/>
          <w:color w:val="000000"/>
          <w:sz w:val="21"/>
        </w:rPr>
        <w:t xml:space="preserve"> </w:t>
      </w:r>
    </w:p>
    <w:p w14:paraId="47B7A272">
      <w:pPr>
        <w:spacing w:before="0" w:after="0" w:line="240" w:lineRule="auto"/>
        <w:ind w:firstLine="0"/>
        <w:jc w:val="center"/>
        <w:outlineLvl w:val="9"/>
      </w:pPr>
      <w:r>
        <w:rPr>
          <w:rFonts w:ascii="宋体" w:hAnsi="宋体" w:eastAsia="宋体" w:cs="宋体"/>
          <w:color w:val="000000"/>
          <w:sz w:val="21"/>
        </w:rPr>
        <w:t xml:space="preserve"> </w:t>
      </w:r>
    </w:p>
    <w:p w14:paraId="6660286A">
      <w:pPr>
        <w:spacing w:before="0" w:after="0" w:line="240" w:lineRule="auto"/>
        <w:ind w:firstLine="0"/>
        <w:jc w:val="center"/>
        <w:outlineLvl w:val="9"/>
      </w:pPr>
      <w:r>
        <w:rPr>
          <w:rFonts w:ascii="宋体" w:hAnsi="宋体" w:eastAsia="宋体" w:cs="宋体"/>
          <w:color w:val="000000"/>
          <w:sz w:val="21"/>
        </w:rPr>
        <w:t xml:space="preserve"> </w:t>
      </w:r>
    </w:p>
    <w:p w14:paraId="05BE1C5A">
      <w:pPr>
        <w:spacing w:before="0" w:after="0" w:line="240" w:lineRule="auto"/>
        <w:ind w:firstLine="0"/>
        <w:jc w:val="center"/>
        <w:outlineLvl w:val="9"/>
      </w:pPr>
      <w:r>
        <w:rPr>
          <w:rFonts w:ascii="宋体" w:hAnsi="宋体" w:eastAsia="宋体" w:cs="宋体"/>
          <w:color w:val="000000"/>
          <w:sz w:val="21"/>
        </w:rPr>
        <w:t xml:space="preserve"> </w:t>
      </w:r>
    </w:p>
    <w:p w14:paraId="379AE851">
      <w:pPr>
        <w:spacing w:before="0" w:after="0" w:line="240" w:lineRule="auto"/>
        <w:ind w:firstLine="0"/>
        <w:jc w:val="center"/>
        <w:outlineLvl w:val="9"/>
      </w:pPr>
      <w:r>
        <w:rPr>
          <w:rFonts w:ascii="宋体" w:hAnsi="宋体" w:eastAsia="宋体" w:cs="宋体"/>
          <w:color w:val="000000"/>
          <w:sz w:val="21"/>
        </w:rPr>
        <w:t xml:space="preserve"> </w:t>
      </w:r>
    </w:p>
    <w:p w14:paraId="3A3043FA">
      <w:pPr>
        <w:spacing w:before="0" w:after="0" w:line="240" w:lineRule="auto"/>
        <w:ind w:firstLine="0"/>
        <w:jc w:val="center"/>
        <w:outlineLvl w:val="9"/>
      </w:pPr>
      <w:r>
        <w:rPr>
          <w:rFonts w:ascii="宋体" w:hAnsi="宋体" w:eastAsia="宋体" w:cs="宋体"/>
          <w:color w:val="000000"/>
          <w:sz w:val="21"/>
        </w:rPr>
        <w:t xml:space="preserve"> </w:t>
      </w:r>
    </w:p>
    <w:p w14:paraId="7112E842">
      <w:pPr>
        <w:spacing w:before="0" w:after="0" w:line="240" w:lineRule="auto"/>
        <w:ind w:firstLine="0"/>
        <w:jc w:val="center"/>
        <w:outlineLvl w:val="9"/>
      </w:pPr>
      <w:r>
        <w:rPr>
          <w:rFonts w:ascii="宋体" w:hAnsi="宋体" w:eastAsia="宋体" w:cs="宋体"/>
          <w:color w:val="000000"/>
          <w:sz w:val="21"/>
        </w:rPr>
        <w:t xml:space="preserve"> </w:t>
      </w:r>
    </w:p>
    <w:p w14:paraId="4204CFF9">
      <w:pPr>
        <w:spacing w:before="0" w:after="0" w:line="240" w:lineRule="auto"/>
        <w:ind w:firstLine="0"/>
        <w:jc w:val="center"/>
        <w:outlineLvl w:val="9"/>
      </w:pPr>
      <w:r>
        <w:rPr>
          <w:rFonts w:ascii="宋体" w:hAnsi="宋体" w:eastAsia="宋体" w:cs="宋体"/>
          <w:color w:val="000000"/>
          <w:sz w:val="21"/>
        </w:rPr>
        <w:t xml:space="preserve"> </w:t>
      </w:r>
    </w:p>
    <w:p w14:paraId="745A22D0">
      <w:pPr>
        <w:spacing w:before="0" w:after="0" w:line="240" w:lineRule="auto"/>
        <w:ind w:firstLine="0"/>
        <w:jc w:val="center"/>
        <w:outlineLvl w:val="9"/>
      </w:pPr>
      <w:r>
        <w:rPr>
          <w:rFonts w:ascii="宋体" w:hAnsi="宋体" w:eastAsia="宋体" w:cs="宋体"/>
          <w:color w:val="000000"/>
          <w:sz w:val="21"/>
        </w:rPr>
        <w:t xml:space="preserve"> </w:t>
      </w:r>
    </w:p>
    <w:p w14:paraId="40D88583">
      <w:pPr>
        <w:spacing w:before="0" w:after="0" w:line="240" w:lineRule="auto"/>
        <w:ind w:firstLine="0"/>
        <w:jc w:val="center"/>
        <w:outlineLvl w:val="9"/>
      </w:pPr>
      <w:r>
        <w:rPr>
          <w:rFonts w:ascii="宋体" w:hAnsi="宋体" w:eastAsia="宋体" w:cs="宋体"/>
          <w:color w:val="000000"/>
          <w:sz w:val="21"/>
        </w:rPr>
        <w:t xml:space="preserve"> </w:t>
      </w:r>
    </w:p>
    <w:p w14:paraId="32706EC8">
      <w:pPr>
        <w:spacing w:before="0" w:after="0" w:line="240" w:lineRule="auto"/>
        <w:ind w:firstLine="0"/>
        <w:jc w:val="center"/>
        <w:outlineLvl w:val="9"/>
      </w:pPr>
      <w:r>
        <w:rPr>
          <w:rFonts w:ascii="宋体" w:hAnsi="宋体" w:eastAsia="宋体" w:cs="宋体"/>
          <w:color w:val="000000"/>
          <w:sz w:val="21"/>
        </w:rPr>
        <w:t xml:space="preserve"> </w:t>
      </w:r>
    </w:p>
    <w:p w14:paraId="4CBE532D">
      <w:pPr>
        <w:spacing w:before="0" w:after="0" w:line="240" w:lineRule="auto"/>
        <w:ind w:firstLine="0"/>
        <w:jc w:val="center"/>
        <w:outlineLvl w:val="9"/>
      </w:pPr>
      <w:r>
        <w:rPr>
          <w:rFonts w:ascii="宋体" w:hAnsi="宋体" w:eastAsia="宋体" w:cs="宋体"/>
          <w:color w:val="000000"/>
          <w:sz w:val="21"/>
        </w:rPr>
        <w:t xml:space="preserve"> </w:t>
      </w:r>
    </w:p>
    <w:p w14:paraId="075B34EB">
      <w:pPr>
        <w:spacing w:before="0" w:after="0" w:line="240" w:lineRule="auto"/>
        <w:ind w:firstLine="0"/>
        <w:jc w:val="center"/>
        <w:outlineLvl w:val="9"/>
      </w:pPr>
      <w:r>
        <w:rPr>
          <w:rFonts w:ascii="宋体" w:hAnsi="宋体" w:eastAsia="宋体" w:cs="宋体"/>
          <w:color w:val="000000"/>
          <w:sz w:val="21"/>
        </w:rPr>
        <w:t xml:space="preserve"> </w:t>
      </w:r>
    </w:p>
    <w:p w14:paraId="57884D8F">
      <w:pPr>
        <w:spacing w:before="0" w:after="0" w:line="240" w:lineRule="auto"/>
        <w:ind w:firstLine="0"/>
        <w:jc w:val="center"/>
        <w:outlineLvl w:val="9"/>
      </w:pPr>
      <w:r>
        <w:rPr>
          <w:rFonts w:ascii="宋体" w:hAnsi="宋体" w:eastAsia="宋体" w:cs="宋体"/>
          <w:color w:val="000000"/>
          <w:sz w:val="21"/>
        </w:rPr>
        <w:t xml:space="preserve"> </w:t>
      </w:r>
    </w:p>
    <w:p w14:paraId="3A4ECF10">
      <w:pPr>
        <w:spacing w:before="0" w:after="0" w:line="240" w:lineRule="auto"/>
        <w:ind w:firstLine="0"/>
        <w:jc w:val="center"/>
        <w:outlineLvl w:val="9"/>
      </w:pPr>
      <w:r>
        <w:rPr>
          <w:rFonts w:ascii="宋体" w:hAnsi="宋体" w:eastAsia="宋体" w:cs="宋体"/>
          <w:color w:val="000000"/>
          <w:sz w:val="21"/>
        </w:rPr>
        <w:t xml:space="preserve"> </w:t>
      </w:r>
    </w:p>
    <w:p w14:paraId="796292CF">
      <w:pPr>
        <w:spacing w:before="0" w:after="0" w:line="240" w:lineRule="auto"/>
        <w:ind w:firstLine="0"/>
        <w:jc w:val="center"/>
        <w:outlineLvl w:val="9"/>
      </w:pPr>
      <w:r>
        <w:rPr>
          <w:rFonts w:ascii="宋体" w:hAnsi="宋体" w:eastAsia="宋体" w:cs="宋体"/>
          <w:color w:val="000000"/>
          <w:sz w:val="21"/>
        </w:rPr>
        <w:t xml:space="preserve"> </w:t>
      </w:r>
    </w:p>
    <w:p w14:paraId="4DF4C004">
      <w:pPr>
        <w:spacing w:before="0" w:after="0" w:line="240" w:lineRule="auto"/>
        <w:ind w:firstLine="0"/>
        <w:jc w:val="center"/>
        <w:outlineLvl w:val="9"/>
      </w:pPr>
      <w:r>
        <w:rPr>
          <w:rFonts w:ascii="宋体" w:hAnsi="宋体" w:eastAsia="宋体" w:cs="宋体"/>
          <w:color w:val="000000"/>
          <w:sz w:val="21"/>
        </w:rPr>
        <w:t xml:space="preserve"> </w:t>
      </w:r>
    </w:p>
    <w:p w14:paraId="6414358C">
      <w:pPr>
        <w:spacing w:before="0" w:after="0" w:line="240" w:lineRule="auto"/>
        <w:ind w:firstLine="0"/>
        <w:jc w:val="center"/>
        <w:outlineLvl w:val="9"/>
      </w:pPr>
      <w:r>
        <w:rPr>
          <w:rFonts w:ascii="宋体" w:hAnsi="宋体" w:eastAsia="宋体" w:cs="宋体"/>
          <w:color w:val="000000"/>
          <w:sz w:val="21"/>
        </w:rPr>
        <w:t xml:space="preserve"> </w:t>
      </w:r>
    </w:p>
    <w:p w14:paraId="69D915F4">
      <w:pPr>
        <w:spacing w:before="0" w:after="0" w:line="240" w:lineRule="auto"/>
        <w:ind w:firstLine="0"/>
        <w:jc w:val="center"/>
        <w:outlineLvl w:val="9"/>
      </w:pPr>
      <w:r>
        <w:rPr>
          <w:rFonts w:ascii="方正楷体_GBK" w:hAnsi="方正楷体_GBK" w:eastAsia="方正楷体_GBK" w:cs="方正楷体_GBK"/>
          <w:b/>
          <w:color w:val="000000"/>
          <w:sz w:val="32"/>
        </w:rPr>
        <w:t>怀来县信访局编制</w:t>
      </w:r>
    </w:p>
    <w:p w14:paraId="35D27964">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26FFEB15">
      <w:pPr>
        <w:spacing w:before="0" w:after="0" w:line="240" w:lineRule="auto"/>
        <w:ind w:firstLine="0"/>
        <w:jc w:val="center"/>
        <w:outlineLvl w:val="9"/>
        <w:sectPr>
          <w:pgSz w:w="11900" w:h="16840"/>
          <w:pgMar w:top="1984" w:right="1304" w:bottom="1134" w:left="1304" w:header="720" w:footer="720" w:gutter="0"/>
          <w:cols w:space="720" w:num="1"/>
          <w:titlePg/>
        </w:sectPr>
      </w:pPr>
    </w:p>
    <w:p w14:paraId="120E1DA5">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82F760D">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7563410">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79E45B90">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4CA12CBE">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5648C70F">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B68A95E">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3A5FBC4A">
      <w:r>
        <w:fldChar w:fldCharType="end"/>
      </w:r>
    </w:p>
    <w:p w14:paraId="1A809F72">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3BB5932E">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1.]怀财字【2025】7号 维稳经费绩效目标表</w:t>
      </w:r>
      <w:r>
        <w:tab/>
      </w:r>
      <w:r>
        <w:fldChar w:fldCharType="begin"/>
      </w:r>
      <w:r>
        <w:instrText xml:space="preserve">PAGEREF _Toc_4_4_0000000004 \h</w:instrText>
      </w:r>
      <w:r>
        <w:fldChar w:fldCharType="separate"/>
      </w:r>
      <w:r>
        <w:t>6</w:t>
      </w:r>
      <w:r>
        <w:fldChar w:fldCharType="end"/>
      </w:r>
      <w:r>
        <w:fldChar w:fldCharType="end"/>
      </w:r>
    </w:p>
    <w:p w14:paraId="1875E0B7">
      <w:pPr>
        <w:pStyle w:val="2"/>
        <w:tabs>
          <w:tab w:val="right" w:leader="dot" w:pos="9282"/>
        </w:tabs>
      </w:pPr>
      <w:r>
        <w:fldChar w:fldCharType="begin"/>
      </w:r>
      <w:r>
        <w:instrText xml:space="preserve"> HYPERLINK \l "_Toc_4_4_0000000005" </w:instrText>
      </w:r>
      <w:r>
        <w:fldChar w:fldCharType="separate"/>
      </w:r>
      <w:r>
        <w:t>2.怀财字【2025】7号 信访专项绩效目标表</w:t>
      </w:r>
      <w:r>
        <w:tab/>
      </w:r>
      <w:r>
        <w:fldChar w:fldCharType="begin"/>
      </w:r>
      <w:r>
        <w:instrText xml:space="preserve">PAGEREF _Toc_4_4_0000000005 \h</w:instrText>
      </w:r>
      <w:r>
        <w:fldChar w:fldCharType="separate"/>
      </w:r>
      <w:r>
        <w:t>7</w:t>
      </w:r>
      <w:r>
        <w:fldChar w:fldCharType="end"/>
      </w:r>
      <w:r>
        <w:fldChar w:fldCharType="end"/>
      </w:r>
    </w:p>
    <w:p w14:paraId="1DA4BF4F">
      <w:r>
        <w:fldChar w:fldCharType="end"/>
      </w:r>
    </w:p>
    <w:p w14:paraId="05929470">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7C099D7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8795A50">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6E0FA019">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593BEC8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B139943">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00F0C689">
      <w:pPr>
        <w:pStyle w:val="8"/>
      </w:pPr>
      <w:r>
        <w:t>以习近平新时代中国特色社会主义思想为指导，认真落实中央和省、市关于信访工作的决策部署，牢固树立以人民为中心的发展理念主动将信访工作与社会治理相融合，加快构建源头预防、排查梳理、纠纷化解、应急处置的综合机制，进一步创新工作思路，着力发挥群众工作中心作用，在做好群众工作上下功夫，解决信访突出问题、防范化解重大风险、落实信访工作责任、规范信访基础业务、建设信访干部队伍；确保到市集体访、赴省集体访、进京越级访明显下降，突出信访矛盾化解率、信访队伍建设水平显著提升；全力推动全县信访工作实现良性循环、信访形势实现明显好转、信访工作绩效保持位居全市前列，为全县较快发展营造良好的经济环境，为建设美丽怀来提供更加和谐稳定的社会环境。</w:t>
      </w:r>
    </w:p>
    <w:p w14:paraId="772E4A48">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15DA0849">
      <w:pPr>
        <w:pStyle w:val="9"/>
      </w:pPr>
      <w:r>
        <w:t>1.信访积案攻坚化解</w:t>
      </w:r>
    </w:p>
    <w:p w14:paraId="57FCCA29">
      <w:pPr>
        <w:pStyle w:val="9"/>
      </w:pPr>
      <w:r>
        <w:t>绩效指标：交办事项、办事项、矛盾化解认定手续及有关统计数据</w:t>
      </w:r>
      <w:r>
        <w:tab/>
      </w:r>
      <w:r>
        <w:tab/>
      </w:r>
    </w:p>
    <w:p w14:paraId="59B70BC6">
      <w:pPr>
        <w:pStyle w:val="9"/>
      </w:pPr>
      <w:r>
        <w:t>指标值：化解率80%，办结率100%</w:t>
      </w:r>
    </w:p>
    <w:p w14:paraId="0699383F">
      <w:pPr>
        <w:pStyle w:val="9"/>
      </w:pPr>
    </w:p>
    <w:p w14:paraId="709E8776">
      <w:pPr>
        <w:pStyle w:val="9"/>
      </w:pPr>
      <w:r>
        <w:t>2.信访工作组织领导</w:t>
      </w:r>
    </w:p>
    <w:p w14:paraId="2B8B8AB6">
      <w:pPr>
        <w:pStyle w:val="9"/>
      </w:pPr>
      <w:r>
        <w:t>绩效指标：工作方案、领导接访、矛盾排查记录</w:t>
      </w:r>
      <w:r>
        <w:tab/>
      </w:r>
    </w:p>
    <w:p w14:paraId="7296F1B0">
      <w:pPr>
        <w:pStyle w:val="9"/>
      </w:pPr>
      <w:r>
        <w:t>指标值：按规定接访</w:t>
      </w:r>
    </w:p>
    <w:p w14:paraId="205F0AAF">
      <w:pPr>
        <w:pStyle w:val="9"/>
      </w:pPr>
    </w:p>
    <w:p w14:paraId="7E09479B">
      <w:pPr>
        <w:pStyle w:val="9"/>
      </w:pPr>
      <w:r>
        <w:t>3.信访矛盾</w:t>
      </w:r>
      <w:r>
        <w:rPr>
          <w:rFonts w:hint="eastAsia"/>
          <w:lang w:eastAsia="zh-CN"/>
        </w:rPr>
        <w:t>化解</w:t>
      </w:r>
      <w:r>
        <w:t>稳控</w:t>
      </w:r>
      <w:r>
        <w:tab/>
      </w:r>
    </w:p>
    <w:p w14:paraId="23C74C5F">
      <w:pPr>
        <w:pStyle w:val="9"/>
      </w:pPr>
      <w:r>
        <w:t>绩效指标：上级登记数据及情况通报</w:t>
      </w:r>
      <w:r>
        <w:tab/>
      </w:r>
    </w:p>
    <w:p w14:paraId="623635D8">
      <w:pPr>
        <w:pStyle w:val="9"/>
      </w:pPr>
      <w:r>
        <w:t>指标值：到市集体访、赴省集体访、进京越级访明显下降</w:t>
      </w:r>
    </w:p>
    <w:p w14:paraId="55698345">
      <w:pPr>
        <w:pStyle w:val="9"/>
      </w:pPr>
    </w:p>
    <w:p w14:paraId="24A18EE4">
      <w:pPr>
        <w:pStyle w:val="9"/>
      </w:pPr>
      <w:r>
        <w:t>4.信访队伍培训管理</w:t>
      </w:r>
    </w:p>
    <w:p w14:paraId="04077B4A">
      <w:pPr>
        <w:pStyle w:val="9"/>
      </w:pPr>
      <w:r>
        <w:t>绩效指标：学习教育培训资料</w:t>
      </w:r>
    </w:p>
    <w:p w14:paraId="3D81D631">
      <w:pPr>
        <w:pStyle w:val="9"/>
      </w:pPr>
      <w:r>
        <w:t>指标值：定时开展信访业务培训会</w:t>
      </w:r>
    </w:p>
    <w:p w14:paraId="769B704F">
      <w:pPr>
        <w:pStyle w:val="9"/>
      </w:pPr>
    </w:p>
    <w:p w14:paraId="66E8EA57">
      <w:pPr>
        <w:pStyle w:val="9"/>
      </w:pPr>
      <w:r>
        <w:t>5.信访事项受理办理</w:t>
      </w:r>
    </w:p>
    <w:p w14:paraId="4E6B11DF">
      <w:pPr>
        <w:pStyle w:val="9"/>
      </w:pPr>
      <w:r>
        <w:t xml:space="preserve">绩效指标：统计数据及实际工作质效 </w:t>
      </w:r>
    </w:p>
    <w:p w14:paraId="4F89F742">
      <w:pPr>
        <w:pStyle w:val="9"/>
      </w:pPr>
      <w:r>
        <w:t>指标值：办结率、满意率</w:t>
      </w:r>
    </w:p>
    <w:p w14:paraId="790CFC34">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2A3FAA00">
      <w:pPr>
        <w:pStyle w:val="10"/>
      </w:pPr>
      <w:r>
        <w:t>(一)在“事要解决”上下功夫，多措并举，全力化解群众反映的信访事项，一是充分发挥接待中心的综合协调作用。提高中心人员综合素质，提升接待窗口服务质量，明确以整合行政资源，强化责任，及时就地解决信访问题为核心，充分发挥综合协调指导作用，真正把信访接待中心建成解决信访问题的“终点站”。二加大对重点信访案件的化解力度，把握案件化解工作重点，多方联动，不断拓宽化解思路，灵活化解方法，确保案件按期化解。三是加强案件办理工作督导检查。将案件的督查工作与办理工作有机结合，推动案件化解。</w:t>
      </w:r>
    </w:p>
    <w:p w14:paraId="20378036">
      <w:pPr>
        <w:pStyle w:val="10"/>
      </w:pPr>
    </w:p>
    <w:p w14:paraId="06ED50FB">
      <w:pPr>
        <w:pStyle w:val="10"/>
      </w:pPr>
      <w:r>
        <w:t>(二)在源头治理上下功夫，完善机制，动员全区力量努力将矛盾问题化解在基层，一是抓好领导干部接访工作。继续完善领导干部接访、下访、约访工作制度。围绕服务群众，坚持领导干部接访公示制度，建立领导干部接访事项督办机制。二是抓好矛盾纠纷排查工作。把信访突出问题和不稳定因素查清查实，坚持做到把防范矛盾纠纷和解决群众实际问题结合起来，把全面排查与重点排查结合起来，把经常排查与集中排查结合起来，不断强化源头预防，努力把问题化解在基层，把人稳控在当地。三是抓好初信初访办理工作。加强对信访接待人员的思想培训、业务培训，强化群众工作理念，通过从群众角度想问题、从服务角度解决问题，认真做好群众的来访接待工作。对于符合政策的诉求一定要及时解决到位;对于暂无政策支持，但诉求合理的，要帮扶救助到位加强分析研判;对于诉求无理的，要宣传解释和思想疏导要同时到位，进一步提高初信初访的办结率。</w:t>
      </w:r>
    </w:p>
    <w:p w14:paraId="37BC5E6F">
      <w:pPr>
        <w:pStyle w:val="10"/>
      </w:pPr>
    </w:p>
    <w:p w14:paraId="584FFF89">
      <w:pPr>
        <w:pStyle w:val="10"/>
      </w:pPr>
      <w:r>
        <w:t>(三)在工作创新上下功夫，不断探索，努力推进怀来信访工作再上新台阶，学习借鉴“依靠人民群众，把矛盾化解在基层”的“枫桥经验”，紧紧围绕用群众工作统揽信访工作，探索创新工作机制，充分调动和发挥信访部门和骨干队伍作用，进一步做精做细做实信访工作，为区域经济社会发展创造和谐稳定的社会环境。</w:t>
      </w:r>
    </w:p>
    <w:p w14:paraId="05A92FF4">
      <w:pPr>
        <w:pStyle w:val="10"/>
      </w:pPr>
    </w:p>
    <w:p w14:paraId="3109A6EF">
      <w:pPr>
        <w:pStyle w:val="10"/>
      </w:pPr>
      <w:r>
        <w:t>（四）是更加注重信访法制化建设及信访事项规范化办理。适时集中开展信访</w:t>
      </w:r>
      <w:r>
        <w:rPr>
          <w:rFonts w:hint="eastAsia"/>
          <w:lang w:eastAsia="zh-CN"/>
        </w:rPr>
        <w:t>法律法规</w:t>
      </w:r>
      <w:r>
        <w:t>宣传教育活动，加大领导干部法治教育培训，引导群众通过复议、仲裁等途径化解矛盾纠纷；继续推进河北信访信息系统规范化使用，推进信访业务办理过程全覆盖，切实做到信访业务和工作流程全部网上数字化运转。推进满意度评价，提高信访事项“三率”水平。努力打造“阳光信访”，提高信访工作公信力。</w:t>
      </w:r>
    </w:p>
    <w:p w14:paraId="2423911A">
      <w:pPr>
        <w:pStyle w:val="10"/>
      </w:pPr>
    </w:p>
    <w:p w14:paraId="47F6C8F7">
      <w:pPr>
        <w:pStyle w:val="10"/>
      </w:pPr>
      <w:r>
        <w:t>（五）完善制度建设。包括制定完善预算绩效管理制度、资金管理办法、工作保障制度等，为全年预算绩效目标的实现奠定制度基础。</w:t>
      </w:r>
    </w:p>
    <w:p w14:paraId="0FC4F3B3">
      <w:pPr>
        <w:pStyle w:val="10"/>
      </w:pPr>
    </w:p>
    <w:p w14:paraId="07BA46DC">
      <w:pPr>
        <w:pStyle w:val="10"/>
      </w:pPr>
      <w:r>
        <w:t>（六）加强支出管理。通过优化支出结构、编细编实预算、加快履行政府采购手续、尽快启动项目、及时支付资金、6月底前细化代编预算、按规定及时下达资金等多种措施，确保支出进度达标。</w:t>
      </w:r>
    </w:p>
    <w:p w14:paraId="43CB737A">
      <w:pPr>
        <w:pStyle w:val="10"/>
      </w:pPr>
    </w:p>
    <w:p w14:paraId="408324B3">
      <w:pPr>
        <w:pStyle w:val="10"/>
      </w:pPr>
      <w:r>
        <w:t>（七）加强绩效运行监控。按要求开展绩效运行监控，发现问题及时采取措施，确保绩效目标如期保质实现。</w:t>
      </w:r>
    </w:p>
    <w:p w14:paraId="2F1F7972">
      <w:pPr>
        <w:pStyle w:val="10"/>
      </w:pPr>
    </w:p>
    <w:p w14:paraId="316B276B">
      <w:pPr>
        <w:pStyle w:val="10"/>
      </w:pPr>
      <w:r>
        <w:t>（八）做好绩效自评。按要求开展上年度部门预算绩效自评和重点评价工作，对评价中发现的问题及时整改，调整优化支出结构，提高财政资金使用效益。</w:t>
      </w:r>
    </w:p>
    <w:p w14:paraId="0A6ADA06">
      <w:pPr>
        <w:pStyle w:val="10"/>
      </w:pPr>
    </w:p>
    <w:p w14:paraId="7B56D9FF">
      <w:pPr>
        <w:pStyle w:val="10"/>
      </w:pPr>
      <w:r>
        <w:t>（九）规范财务资金管理。完善财务管理制度，严格审批程序，加强固定资产登记、使用和报废处置管理，做到支出合理，物尽其用。</w:t>
      </w:r>
    </w:p>
    <w:p w14:paraId="66D5824A">
      <w:pPr>
        <w:pStyle w:val="10"/>
      </w:pPr>
      <w:r>
        <w:t>（十）加强内部监督。加强内部监督制度建设，对绩效运行情况、重大支出决策、对外投资、资产处置及其他重要经济业务事项的决策和执行进行督导，对会计</w:t>
      </w:r>
      <w:r>
        <w:rPr>
          <w:rFonts w:hint="eastAsia"/>
          <w:lang w:eastAsia="zh-CN"/>
        </w:rPr>
        <w:t>资金资料</w:t>
      </w:r>
      <w:bookmarkStart w:id="5" w:name="_GoBack"/>
      <w:bookmarkEnd w:id="5"/>
      <w:r>
        <w:t>进行内部审计，并配合好审计、财政监督等外部监督工作，确保财政资金安全有效。</w:t>
      </w:r>
    </w:p>
    <w:p w14:paraId="228C8931">
      <w:pPr>
        <w:pStyle w:val="10"/>
      </w:pPr>
    </w:p>
    <w:p w14:paraId="3F81A95F">
      <w:pPr>
        <w:pStyle w:val="10"/>
      </w:pPr>
      <w:r>
        <w:t>（十一）加强宣传培训调研等。加强人员培训，提高本部门职工业务素质;加强调研，提出优化财政资金配置、提高资金使用效益的意见;加大宣传力度，强化预算绩效管理意识，促进预算绩效管理水平进一步提升。</w:t>
      </w:r>
    </w:p>
    <w:p w14:paraId="3575B7BC">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447E37C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AEA528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14410E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9A716EF">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C8846E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4D221F">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181B9FE6">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6D783D1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59DC93">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1.]怀财字【2025】7号 维稳经费绩效目标表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D67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0A1FCF9">
            <w:pPr>
              <w:pStyle w:val="12"/>
            </w:pPr>
            <w:r>
              <w:t>286001怀来县信访局</w:t>
            </w:r>
          </w:p>
        </w:tc>
        <w:tc>
          <w:tcPr>
            <w:tcW w:w="1843" w:type="dxa"/>
            <w:tcBorders>
              <w:top w:val="single" w:color="FFFFFF" w:sz="6" w:space="0"/>
              <w:left w:val="single" w:color="FFFFFF" w:sz="6" w:space="0"/>
              <w:right w:val="single" w:color="FFFFFF" w:sz="6" w:space="0"/>
            </w:tcBorders>
            <w:vAlign w:val="center"/>
          </w:tcPr>
          <w:p w14:paraId="1810A5FC">
            <w:pPr>
              <w:pStyle w:val="11"/>
            </w:pPr>
            <w:r>
              <w:t>单位：万元</w:t>
            </w:r>
          </w:p>
        </w:tc>
      </w:tr>
      <w:tr w14:paraId="1F715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E035DC">
            <w:pPr>
              <w:pStyle w:val="14"/>
            </w:pPr>
            <w:r>
              <w:t>项目编码</w:t>
            </w:r>
          </w:p>
        </w:tc>
        <w:tc>
          <w:tcPr>
            <w:tcW w:w="2608" w:type="dxa"/>
            <w:gridSpan w:val="2"/>
            <w:vAlign w:val="center"/>
          </w:tcPr>
          <w:p w14:paraId="083E1F1E">
            <w:pPr>
              <w:pStyle w:val="13"/>
            </w:pPr>
            <w:r>
              <w:t>13073025P00086110001N</w:t>
            </w:r>
          </w:p>
        </w:tc>
        <w:tc>
          <w:tcPr>
            <w:tcW w:w="1587" w:type="dxa"/>
            <w:vAlign w:val="center"/>
          </w:tcPr>
          <w:p w14:paraId="6123A76E">
            <w:pPr>
              <w:pStyle w:val="14"/>
            </w:pPr>
            <w:r>
              <w:t>项目名称</w:t>
            </w:r>
          </w:p>
        </w:tc>
        <w:tc>
          <w:tcPr>
            <w:tcW w:w="4423" w:type="dxa"/>
            <w:gridSpan w:val="3"/>
            <w:vAlign w:val="center"/>
          </w:tcPr>
          <w:p w14:paraId="005702BD">
            <w:pPr>
              <w:pStyle w:val="13"/>
            </w:pPr>
            <w:r>
              <w:t>]怀财字【2025】7号 维稳经费</w:t>
            </w:r>
          </w:p>
        </w:tc>
      </w:tr>
      <w:tr w14:paraId="1D4DB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32A7B">
            <w:pPr>
              <w:pStyle w:val="14"/>
            </w:pPr>
            <w:r>
              <w:t>预算规模及资金用途</w:t>
            </w:r>
          </w:p>
        </w:tc>
        <w:tc>
          <w:tcPr>
            <w:tcW w:w="1276" w:type="dxa"/>
            <w:vAlign w:val="center"/>
          </w:tcPr>
          <w:p w14:paraId="6DFB7435">
            <w:pPr>
              <w:pStyle w:val="14"/>
            </w:pPr>
            <w:r>
              <w:t>预算数</w:t>
            </w:r>
          </w:p>
        </w:tc>
        <w:tc>
          <w:tcPr>
            <w:tcW w:w="1332" w:type="dxa"/>
            <w:vAlign w:val="center"/>
          </w:tcPr>
          <w:p w14:paraId="7B6AA29D">
            <w:pPr>
              <w:pStyle w:val="13"/>
            </w:pPr>
            <w:r>
              <w:t>60.00</w:t>
            </w:r>
          </w:p>
        </w:tc>
        <w:tc>
          <w:tcPr>
            <w:tcW w:w="1587" w:type="dxa"/>
            <w:vAlign w:val="center"/>
          </w:tcPr>
          <w:p w14:paraId="644F343E">
            <w:pPr>
              <w:pStyle w:val="14"/>
            </w:pPr>
            <w:r>
              <w:t>其中：财政    资金</w:t>
            </w:r>
          </w:p>
        </w:tc>
        <w:tc>
          <w:tcPr>
            <w:tcW w:w="1304" w:type="dxa"/>
            <w:vAlign w:val="center"/>
          </w:tcPr>
          <w:p w14:paraId="014C16FF">
            <w:pPr>
              <w:pStyle w:val="13"/>
            </w:pPr>
            <w:r>
              <w:t>60.00</w:t>
            </w:r>
          </w:p>
        </w:tc>
        <w:tc>
          <w:tcPr>
            <w:tcW w:w="1276" w:type="dxa"/>
            <w:vAlign w:val="center"/>
          </w:tcPr>
          <w:p w14:paraId="0B5F27DD">
            <w:pPr>
              <w:pStyle w:val="14"/>
            </w:pPr>
            <w:r>
              <w:t>其他资金</w:t>
            </w:r>
          </w:p>
        </w:tc>
        <w:tc>
          <w:tcPr>
            <w:tcW w:w="1843" w:type="dxa"/>
            <w:vAlign w:val="center"/>
          </w:tcPr>
          <w:p w14:paraId="58D70272">
            <w:pPr>
              <w:pStyle w:val="13"/>
            </w:pPr>
            <w:r>
              <w:t xml:space="preserve"> </w:t>
            </w:r>
          </w:p>
        </w:tc>
      </w:tr>
      <w:tr w14:paraId="1E716D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3C0F7C"/>
        </w:tc>
        <w:tc>
          <w:tcPr>
            <w:tcW w:w="8618" w:type="dxa"/>
            <w:gridSpan w:val="6"/>
            <w:vAlign w:val="center"/>
          </w:tcPr>
          <w:p w14:paraId="3804995A">
            <w:pPr>
              <w:pStyle w:val="13"/>
            </w:pPr>
            <w:r>
              <w:t>开展信访维稳工作</w:t>
            </w:r>
          </w:p>
        </w:tc>
      </w:tr>
      <w:tr w14:paraId="5F6AC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30211">
            <w:pPr>
              <w:pStyle w:val="14"/>
            </w:pPr>
            <w:r>
              <w:t>资金支出计划（%）</w:t>
            </w:r>
          </w:p>
        </w:tc>
        <w:tc>
          <w:tcPr>
            <w:tcW w:w="2608" w:type="dxa"/>
            <w:gridSpan w:val="2"/>
            <w:vAlign w:val="center"/>
          </w:tcPr>
          <w:p w14:paraId="6F0578BE">
            <w:pPr>
              <w:pStyle w:val="14"/>
            </w:pPr>
            <w:r>
              <w:t>3月底</w:t>
            </w:r>
          </w:p>
        </w:tc>
        <w:tc>
          <w:tcPr>
            <w:tcW w:w="1587" w:type="dxa"/>
            <w:vAlign w:val="center"/>
          </w:tcPr>
          <w:p w14:paraId="60BC2D78">
            <w:pPr>
              <w:pStyle w:val="14"/>
            </w:pPr>
            <w:r>
              <w:t>6月底</w:t>
            </w:r>
          </w:p>
        </w:tc>
        <w:tc>
          <w:tcPr>
            <w:tcW w:w="1304" w:type="dxa"/>
            <w:vAlign w:val="center"/>
          </w:tcPr>
          <w:p w14:paraId="0C81983B">
            <w:pPr>
              <w:pStyle w:val="14"/>
            </w:pPr>
            <w:r>
              <w:t>10月底</w:t>
            </w:r>
          </w:p>
        </w:tc>
        <w:tc>
          <w:tcPr>
            <w:tcW w:w="3119" w:type="dxa"/>
            <w:gridSpan w:val="2"/>
            <w:vAlign w:val="center"/>
          </w:tcPr>
          <w:p w14:paraId="324A7F76">
            <w:pPr>
              <w:pStyle w:val="14"/>
            </w:pPr>
            <w:r>
              <w:t>12月底</w:t>
            </w:r>
          </w:p>
        </w:tc>
      </w:tr>
      <w:tr w14:paraId="7B8B1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210538"/>
        </w:tc>
        <w:tc>
          <w:tcPr>
            <w:tcW w:w="2608" w:type="dxa"/>
            <w:gridSpan w:val="2"/>
            <w:vAlign w:val="center"/>
          </w:tcPr>
          <w:p w14:paraId="4096BCF9">
            <w:pPr>
              <w:pStyle w:val="15"/>
            </w:pPr>
            <w:r>
              <w:t>30%</w:t>
            </w:r>
          </w:p>
        </w:tc>
        <w:tc>
          <w:tcPr>
            <w:tcW w:w="1587" w:type="dxa"/>
            <w:vAlign w:val="center"/>
          </w:tcPr>
          <w:p w14:paraId="2DCFED77">
            <w:pPr>
              <w:pStyle w:val="15"/>
            </w:pPr>
            <w:r>
              <w:t>60%</w:t>
            </w:r>
          </w:p>
        </w:tc>
        <w:tc>
          <w:tcPr>
            <w:tcW w:w="1304" w:type="dxa"/>
            <w:vAlign w:val="center"/>
          </w:tcPr>
          <w:p w14:paraId="11242912">
            <w:pPr>
              <w:pStyle w:val="15"/>
            </w:pPr>
            <w:r>
              <w:t>80%</w:t>
            </w:r>
          </w:p>
        </w:tc>
        <w:tc>
          <w:tcPr>
            <w:tcW w:w="3119" w:type="dxa"/>
            <w:gridSpan w:val="2"/>
            <w:vAlign w:val="center"/>
          </w:tcPr>
          <w:p w14:paraId="629FAC80">
            <w:pPr>
              <w:pStyle w:val="15"/>
            </w:pPr>
            <w:r>
              <w:t>100%</w:t>
            </w:r>
          </w:p>
        </w:tc>
      </w:tr>
      <w:tr w14:paraId="15340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B3D4B">
            <w:pPr>
              <w:pStyle w:val="14"/>
            </w:pPr>
            <w:r>
              <w:t>绩效目标</w:t>
            </w:r>
          </w:p>
        </w:tc>
        <w:tc>
          <w:tcPr>
            <w:tcW w:w="8618" w:type="dxa"/>
            <w:gridSpan w:val="6"/>
            <w:vAlign w:val="center"/>
          </w:tcPr>
          <w:p w14:paraId="0CC89A21">
            <w:pPr>
              <w:pStyle w:val="13"/>
            </w:pPr>
            <w:r>
              <w:t>1.通过开展信访维稳工作,维护群众合法权益和全县社会和谐稳定。</w:t>
            </w:r>
          </w:p>
        </w:tc>
      </w:tr>
    </w:tbl>
    <w:p w14:paraId="4D240D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227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405902">
            <w:pPr>
              <w:pStyle w:val="14"/>
            </w:pPr>
            <w:r>
              <w:t>一级指标</w:t>
            </w:r>
          </w:p>
        </w:tc>
        <w:tc>
          <w:tcPr>
            <w:tcW w:w="1276" w:type="dxa"/>
            <w:vAlign w:val="center"/>
          </w:tcPr>
          <w:p w14:paraId="481B88B4">
            <w:pPr>
              <w:pStyle w:val="14"/>
            </w:pPr>
            <w:r>
              <w:t>二级指标</w:t>
            </w:r>
          </w:p>
        </w:tc>
        <w:tc>
          <w:tcPr>
            <w:tcW w:w="1332" w:type="dxa"/>
            <w:vAlign w:val="center"/>
          </w:tcPr>
          <w:p w14:paraId="694919C0">
            <w:pPr>
              <w:pStyle w:val="14"/>
            </w:pPr>
            <w:r>
              <w:t>三级指标</w:t>
            </w:r>
          </w:p>
        </w:tc>
        <w:tc>
          <w:tcPr>
            <w:tcW w:w="2891" w:type="dxa"/>
            <w:vAlign w:val="center"/>
          </w:tcPr>
          <w:p w14:paraId="4DB86302">
            <w:pPr>
              <w:pStyle w:val="14"/>
            </w:pPr>
            <w:r>
              <w:t>绩效指标描述</w:t>
            </w:r>
          </w:p>
        </w:tc>
        <w:tc>
          <w:tcPr>
            <w:tcW w:w="1276" w:type="dxa"/>
            <w:vAlign w:val="center"/>
          </w:tcPr>
          <w:p w14:paraId="22AB01A4">
            <w:pPr>
              <w:pStyle w:val="14"/>
            </w:pPr>
            <w:r>
              <w:t>指标值</w:t>
            </w:r>
          </w:p>
        </w:tc>
        <w:tc>
          <w:tcPr>
            <w:tcW w:w="1843" w:type="dxa"/>
            <w:vAlign w:val="center"/>
          </w:tcPr>
          <w:p w14:paraId="04AD5CE5">
            <w:pPr>
              <w:pStyle w:val="14"/>
            </w:pPr>
            <w:r>
              <w:t>指标值确定依据</w:t>
            </w:r>
          </w:p>
        </w:tc>
      </w:tr>
      <w:tr w14:paraId="306FD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E8E37">
            <w:pPr>
              <w:pStyle w:val="15"/>
            </w:pPr>
            <w:r>
              <w:t>产出指标</w:t>
            </w:r>
          </w:p>
        </w:tc>
        <w:tc>
          <w:tcPr>
            <w:tcW w:w="1276" w:type="dxa"/>
            <w:vAlign w:val="center"/>
          </w:tcPr>
          <w:p w14:paraId="6097FD84">
            <w:pPr>
              <w:pStyle w:val="13"/>
            </w:pPr>
            <w:r>
              <w:t>数量指标</w:t>
            </w:r>
          </w:p>
        </w:tc>
        <w:tc>
          <w:tcPr>
            <w:tcW w:w="1332" w:type="dxa"/>
            <w:vAlign w:val="center"/>
          </w:tcPr>
          <w:p w14:paraId="2A553F74">
            <w:pPr>
              <w:pStyle w:val="13"/>
            </w:pPr>
            <w:r>
              <w:t>项目资金覆盖率</w:t>
            </w:r>
          </w:p>
        </w:tc>
        <w:tc>
          <w:tcPr>
            <w:tcW w:w="2891" w:type="dxa"/>
            <w:vAlign w:val="center"/>
          </w:tcPr>
          <w:p w14:paraId="182D201D">
            <w:pPr>
              <w:pStyle w:val="13"/>
            </w:pPr>
            <w:r>
              <w:t>项目资金覆盖率</w:t>
            </w:r>
          </w:p>
        </w:tc>
        <w:tc>
          <w:tcPr>
            <w:tcW w:w="1276" w:type="dxa"/>
            <w:vAlign w:val="center"/>
          </w:tcPr>
          <w:p w14:paraId="263FD4F1">
            <w:pPr>
              <w:pStyle w:val="13"/>
            </w:pPr>
            <w:r>
              <w:t>100%</w:t>
            </w:r>
          </w:p>
        </w:tc>
        <w:tc>
          <w:tcPr>
            <w:tcW w:w="1843" w:type="dxa"/>
            <w:vAlign w:val="center"/>
          </w:tcPr>
          <w:p w14:paraId="6AEDF0D0">
            <w:pPr>
              <w:pStyle w:val="13"/>
            </w:pPr>
            <w:r>
              <w:t>年初工作计划</w:t>
            </w:r>
          </w:p>
        </w:tc>
      </w:tr>
      <w:tr w14:paraId="22DFE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B005BC"/>
        </w:tc>
        <w:tc>
          <w:tcPr>
            <w:tcW w:w="1276" w:type="dxa"/>
            <w:vAlign w:val="center"/>
          </w:tcPr>
          <w:p w14:paraId="34684EB9">
            <w:pPr>
              <w:pStyle w:val="13"/>
            </w:pPr>
            <w:r>
              <w:t>质量指标</w:t>
            </w:r>
          </w:p>
        </w:tc>
        <w:tc>
          <w:tcPr>
            <w:tcW w:w="1332" w:type="dxa"/>
            <w:vAlign w:val="center"/>
          </w:tcPr>
          <w:p w14:paraId="7F7181AA">
            <w:pPr>
              <w:pStyle w:val="13"/>
            </w:pPr>
            <w:r>
              <w:t>维稳工作正常开展率</w:t>
            </w:r>
          </w:p>
        </w:tc>
        <w:tc>
          <w:tcPr>
            <w:tcW w:w="2891" w:type="dxa"/>
            <w:vAlign w:val="center"/>
          </w:tcPr>
          <w:p w14:paraId="5C0CD728">
            <w:pPr>
              <w:pStyle w:val="13"/>
            </w:pPr>
            <w:r>
              <w:t>维稳工作正常开展率</w:t>
            </w:r>
          </w:p>
        </w:tc>
        <w:tc>
          <w:tcPr>
            <w:tcW w:w="1276" w:type="dxa"/>
            <w:vAlign w:val="center"/>
          </w:tcPr>
          <w:p w14:paraId="5E3AE9BB">
            <w:pPr>
              <w:pStyle w:val="13"/>
            </w:pPr>
            <w:r>
              <w:t>95%</w:t>
            </w:r>
          </w:p>
        </w:tc>
        <w:tc>
          <w:tcPr>
            <w:tcW w:w="1843" w:type="dxa"/>
            <w:vAlign w:val="center"/>
          </w:tcPr>
          <w:p w14:paraId="5CE61D14">
            <w:pPr>
              <w:pStyle w:val="13"/>
            </w:pPr>
            <w:r>
              <w:t>年初工作计划</w:t>
            </w:r>
          </w:p>
        </w:tc>
      </w:tr>
      <w:tr w14:paraId="45C50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4305E"/>
        </w:tc>
        <w:tc>
          <w:tcPr>
            <w:tcW w:w="1276" w:type="dxa"/>
            <w:vAlign w:val="center"/>
          </w:tcPr>
          <w:p w14:paraId="07B1DE35">
            <w:pPr>
              <w:pStyle w:val="13"/>
            </w:pPr>
            <w:r>
              <w:t>时效指标</w:t>
            </w:r>
          </w:p>
        </w:tc>
        <w:tc>
          <w:tcPr>
            <w:tcW w:w="1332" w:type="dxa"/>
            <w:vAlign w:val="center"/>
          </w:tcPr>
          <w:p w14:paraId="40F2283D">
            <w:pPr>
              <w:pStyle w:val="13"/>
            </w:pPr>
            <w:r>
              <w:t>信访事件受理及时率</w:t>
            </w:r>
          </w:p>
        </w:tc>
        <w:tc>
          <w:tcPr>
            <w:tcW w:w="2891" w:type="dxa"/>
            <w:vAlign w:val="center"/>
          </w:tcPr>
          <w:p w14:paraId="65B68EA3">
            <w:pPr>
              <w:pStyle w:val="13"/>
            </w:pPr>
            <w:r>
              <w:t>信访事件受理及时率</w:t>
            </w:r>
          </w:p>
        </w:tc>
        <w:tc>
          <w:tcPr>
            <w:tcW w:w="1276" w:type="dxa"/>
            <w:vAlign w:val="center"/>
          </w:tcPr>
          <w:p w14:paraId="39455547">
            <w:pPr>
              <w:pStyle w:val="13"/>
            </w:pPr>
            <w:r>
              <w:t>95%</w:t>
            </w:r>
          </w:p>
        </w:tc>
        <w:tc>
          <w:tcPr>
            <w:tcW w:w="1843" w:type="dxa"/>
            <w:vAlign w:val="center"/>
          </w:tcPr>
          <w:p w14:paraId="04859A54">
            <w:pPr>
              <w:pStyle w:val="13"/>
            </w:pPr>
            <w:r>
              <w:t>年初工作计划</w:t>
            </w:r>
          </w:p>
        </w:tc>
      </w:tr>
      <w:tr w14:paraId="06CC6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47BEC"/>
        </w:tc>
        <w:tc>
          <w:tcPr>
            <w:tcW w:w="1276" w:type="dxa"/>
            <w:vAlign w:val="center"/>
          </w:tcPr>
          <w:p w14:paraId="775AC7FE">
            <w:pPr>
              <w:pStyle w:val="13"/>
            </w:pPr>
            <w:r>
              <w:t>成本指标</w:t>
            </w:r>
          </w:p>
        </w:tc>
        <w:tc>
          <w:tcPr>
            <w:tcW w:w="1332" w:type="dxa"/>
            <w:vAlign w:val="center"/>
          </w:tcPr>
          <w:p w14:paraId="4DB5D914">
            <w:pPr>
              <w:pStyle w:val="13"/>
            </w:pPr>
            <w:r>
              <w:t>预算金额</w:t>
            </w:r>
          </w:p>
        </w:tc>
        <w:tc>
          <w:tcPr>
            <w:tcW w:w="2891" w:type="dxa"/>
            <w:vAlign w:val="center"/>
          </w:tcPr>
          <w:p w14:paraId="18D13CF7">
            <w:pPr>
              <w:pStyle w:val="13"/>
            </w:pPr>
            <w:r>
              <w:t>是否超出预算金额</w:t>
            </w:r>
          </w:p>
        </w:tc>
        <w:tc>
          <w:tcPr>
            <w:tcW w:w="1276" w:type="dxa"/>
            <w:vAlign w:val="center"/>
          </w:tcPr>
          <w:p w14:paraId="0D048BDB">
            <w:pPr>
              <w:pStyle w:val="13"/>
            </w:pPr>
            <w:r>
              <w:t>60万</w:t>
            </w:r>
          </w:p>
        </w:tc>
        <w:tc>
          <w:tcPr>
            <w:tcW w:w="1843" w:type="dxa"/>
            <w:vAlign w:val="center"/>
          </w:tcPr>
          <w:p w14:paraId="49449303">
            <w:pPr>
              <w:pStyle w:val="13"/>
            </w:pPr>
            <w:r>
              <w:t>2025县级预算编制通知</w:t>
            </w:r>
          </w:p>
        </w:tc>
      </w:tr>
      <w:tr w14:paraId="44A33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A0A84">
            <w:pPr>
              <w:pStyle w:val="15"/>
            </w:pPr>
            <w:r>
              <w:t>效益指标</w:t>
            </w:r>
          </w:p>
        </w:tc>
        <w:tc>
          <w:tcPr>
            <w:tcW w:w="1276" w:type="dxa"/>
            <w:vAlign w:val="center"/>
          </w:tcPr>
          <w:p w14:paraId="4B30BAE7">
            <w:pPr>
              <w:pStyle w:val="13"/>
            </w:pPr>
            <w:r>
              <w:t>社会效益指标</w:t>
            </w:r>
          </w:p>
        </w:tc>
        <w:tc>
          <w:tcPr>
            <w:tcW w:w="1332" w:type="dxa"/>
            <w:vAlign w:val="center"/>
          </w:tcPr>
          <w:p w14:paraId="2C7A5C67">
            <w:pPr>
              <w:pStyle w:val="13"/>
            </w:pPr>
            <w:r>
              <w:t>全县社会和谐稳定</w:t>
            </w:r>
          </w:p>
        </w:tc>
        <w:tc>
          <w:tcPr>
            <w:tcW w:w="2891" w:type="dxa"/>
            <w:vAlign w:val="center"/>
          </w:tcPr>
          <w:p w14:paraId="38E5432D">
            <w:pPr>
              <w:pStyle w:val="13"/>
            </w:pPr>
            <w:r>
              <w:t>是否能够保障全县社会和谐稳定</w:t>
            </w:r>
          </w:p>
        </w:tc>
        <w:tc>
          <w:tcPr>
            <w:tcW w:w="1276" w:type="dxa"/>
            <w:vAlign w:val="center"/>
          </w:tcPr>
          <w:p w14:paraId="1A5563CA">
            <w:pPr>
              <w:pStyle w:val="13"/>
            </w:pPr>
            <w:r>
              <w:t>得到保障</w:t>
            </w:r>
          </w:p>
        </w:tc>
        <w:tc>
          <w:tcPr>
            <w:tcW w:w="1843" w:type="dxa"/>
            <w:vAlign w:val="center"/>
          </w:tcPr>
          <w:p w14:paraId="37626D38">
            <w:pPr>
              <w:pStyle w:val="13"/>
            </w:pPr>
            <w:r>
              <w:t>年初工作计划</w:t>
            </w:r>
          </w:p>
        </w:tc>
      </w:tr>
      <w:tr w14:paraId="041E1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4F2F0E">
            <w:pPr>
              <w:pStyle w:val="15"/>
            </w:pPr>
            <w:r>
              <w:t>满意度指标</w:t>
            </w:r>
          </w:p>
        </w:tc>
        <w:tc>
          <w:tcPr>
            <w:tcW w:w="1276" w:type="dxa"/>
            <w:vAlign w:val="center"/>
          </w:tcPr>
          <w:p w14:paraId="14A41F26">
            <w:pPr>
              <w:pStyle w:val="13"/>
            </w:pPr>
            <w:r>
              <w:t>服务对象满意度指标</w:t>
            </w:r>
          </w:p>
        </w:tc>
        <w:tc>
          <w:tcPr>
            <w:tcW w:w="1332" w:type="dxa"/>
            <w:vAlign w:val="center"/>
          </w:tcPr>
          <w:p w14:paraId="134F645B">
            <w:pPr>
              <w:pStyle w:val="13"/>
            </w:pPr>
            <w:r>
              <w:t>信访群众满意度</w:t>
            </w:r>
          </w:p>
        </w:tc>
        <w:tc>
          <w:tcPr>
            <w:tcW w:w="2891" w:type="dxa"/>
            <w:vAlign w:val="center"/>
          </w:tcPr>
          <w:p w14:paraId="2F1C60F4">
            <w:pPr>
              <w:pStyle w:val="13"/>
            </w:pPr>
            <w:r>
              <w:t>信访群众满意度</w:t>
            </w:r>
          </w:p>
        </w:tc>
        <w:tc>
          <w:tcPr>
            <w:tcW w:w="1276" w:type="dxa"/>
            <w:vAlign w:val="center"/>
          </w:tcPr>
          <w:p w14:paraId="31B6C2E4">
            <w:pPr>
              <w:pStyle w:val="13"/>
            </w:pPr>
            <w:r>
              <w:t>≥90%</w:t>
            </w:r>
          </w:p>
        </w:tc>
        <w:tc>
          <w:tcPr>
            <w:tcW w:w="1843" w:type="dxa"/>
            <w:vAlign w:val="center"/>
          </w:tcPr>
          <w:p w14:paraId="666F4B95">
            <w:pPr>
              <w:pStyle w:val="13"/>
            </w:pPr>
            <w:r>
              <w:t>年初工作计划</w:t>
            </w:r>
          </w:p>
        </w:tc>
      </w:tr>
    </w:tbl>
    <w:p w14:paraId="0B1E82D1">
      <w:pPr>
        <w:sectPr>
          <w:pgSz w:w="11900" w:h="16840"/>
          <w:pgMar w:top="1984" w:right="1304" w:bottom="1134" w:left="1304" w:header="720" w:footer="720" w:gutter="0"/>
          <w:cols w:space="720" w:num="1"/>
        </w:sectPr>
      </w:pPr>
    </w:p>
    <w:p w14:paraId="4545F1B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F3A291">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信访专项绩效目标表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E90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EF7158">
            <w:pPr>
              <w:pStyle w:val="12"/>
            </w:pPr>
            <w:r>
              <w:t>286001怀来县信访局</w:t>
            </w:r>
          </w:p>
        </w:tc>
        <w:tc>
          <w:tcPr>
            <w:tcW w:w="1843" w:type="dxa"/>
            <w:tcBorders>
              <w:top w:val="single" w:color="FFFFFF" w:sz="6" w:space="0"/>
              <w:left w:val="single" w:color="FFFFFF" w:sz="6" w:space="0"/>
              <w:right w:val="single" w:color="FFFFFF" w:sz="6" w:space="0"/>
            </w:tcBorders>
            <w:vAlign w:val="center"/>
          </w:tcPr>
          <w:p w14:paraId="4AE46541">
            <w:pPr>
              <w:pStyle w:val="11"/>
            </w:pPr>
            <w:r>
              <w:t>单位：万元</w:t>
            </w:r>
          </w:p>
        </w:tc>
      </w:tr>
      <w:tr w14:paraId="28F50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6ED832">
            <w:pPr>
              <w:pStyle w:val="14"/>
            </w:pPr>
            <w:r>
              <w:t>项目编码</w:t>
            </w:r>
          </w:p>
        </w:tc>
        <w:tc>
          <w:tcPr>
            <w:tcW w:w="2608" w:type="dxa"/>
            <w:gridSpan w:val="2"/>
            <w:vAlign w:val="center"/>
          </w:tcPr>
          <w:p w14:paraId="2FA6BA58">
            <w:pPr>
              <w:pStyle w:val="13"/>
            </w:pPr>
            <w:r>
              <w:t>13073025P000860100011</w:t>
            </w:r>
          </w:p>
        </w:tc>
        <w:tc>
          <w:tcPr>
            <w:tcW w:w="1587" w:type="dxa"/>
            <w:vAlign w:val="center"/>
          </w:tcPr>
          <w:p w14:paraId="0B6C87ED">
            <w:pPr>
              <w:pStyle w:val="14"/>
            </w:pPr>
            <w:r>
              <w:t>项目名称</w:t>
            </w:r>
          </w:p>
        </w:tc>
        <w:tc>
          <w:tcPr>
            <w:tcW w:w="4423" w:type="dxa"/>
            <w:gridSpan w:val="3"/>
            <w:vAlign w:val="center"/>
          </w:tcPr>
          <w:p w14:paraId="142A0AFE">
            <w:pPr>
              <w:pStyle w:val="13"/>
            </w:pPr>
            <w:r>
              <w:t>怀财字【2025】7号 信访专项</w:t>
            </w:r>
          </w:p>
        </w:tc>
      </w:tr>
      <w:tr w14:paraId="5DA1A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5D64E">
            <w:pPr>
              <w:pStyle w:val="14"/>
            </w:pPr>
            <w:r>
              <w:t>预算规模及资金用途</w:t>
            </w:r>
          </w:p>
        </w:tc>
        <w:tc>
          <w:tcPr>
            <w:tcW w:w="1276" w:type="dxa"/>
            <w:vAlign w:val="center"/>
          </w:tcPr>
          <w:p w14:paraId="75468DE1">
            <w:pPr>
              <w:pStyle w:val="14"/>
            </w:pPr>
            <w:r>
              <w:t>预算数</w:t>
            </w:r>
          </w:p>
        </w:tc>
        <w:tc>
          <w:tcPr>
            <w:tcW w:w="1332" w:type="dxa"/>
            <w:vAlign w:val="center"/>
          </w:tcPr>
          <w:p w14:paraId="79B40CFF">
            <w:pPr>
              <w:pStyle w:val="13"/>
            </w:pPr>
            <w:r>
              <w:t>30.00</w:t>
            </w:r>
          </w:p>
        </w:tc>
        <w:tc>
          <w:tcPr>
            <w:tcW w:w="1587" w:type="dxa"/>
            <w:vAlign w:val="center"/>
          </w:tcPr>
          <w:p w14:paraId="16CD601B">
            <w:pPr>
              <w:pStyle w:val="14"/>
            </w:pPr>
            <w:r>
              <w:t>其中：财政    资金</w:t>
            </w:r>
          </w:p>
        </w:tc>
        <w:tc>
          <w:tcPr>
            <w:tcW w:w="1304" w:type="dxa"/>
            <w:vAlign w:val="center"/>
          </w:tcPr>
          <w:p w14:paraId="6E627265">
            <w:pPr>
              <w:pStyle w:val="13"/>
            </w:pPr>
            <w:r>
              <w:t>30.00</w:t>
            </w:r>
          </w:p>
        </w:tc>
        <w:tc>
          <w:tcPr>
            <w:tcW w:w="1276" w:type="dxa"/>
            <w:vAlign w:val="center"/>
          </w:tcPr>
          <w:p w14:paraId="323B7DB8">
            <w:pPr>
              <w:pStyle w:val="14"/>
            </w:pPr>
            <w:r>
              <w:t>其他资金</w:t>
            </w:r>
          </w:p>
        </w:tc>
        <w:tc>
          <w:tcPr>
            <w:tcW w:w="1843" w:type="dxa"/>
            <w:vAlign w:val="center"/>
          </w:tcPr>
          <w:p w14:paraId="3B7CF42D">
            <w:pPr>
              <w:pStyle w:val="13"/>
            </w:pPr>
            <w:r>
              <w:t xml:space="preserve"> </w:t>
            </w:r>
          </w:p>
        </w:tc>
      </w:tr>
      <w:tr w14:paraId="199ED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7A4E68"/>
        </w:tc>
        <w:tc>
          <w:tcPr>
            <w:tcW w:w="8618" w:type="dxa"/>
            <w:gridSpan w:val="6"/>
            <w:vAlign w:val="center"/>
          </w:tcPr>
          <w:p w14:paraId="7DD7FE90">
            <w:pPr>
              <w:pStyle w:val="13"/>
            </w:pPr>
            <w:r>
              <w:t>开展信访维稳工作</w:t>
            </w:r>
          </w:p>
        </w:tc>
      </w:tr>
      <w:tr w14:paraId="77F6B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3C468">
            <w:pPr>
              <w:pStyle w:val="14"/>
            </w:pPr>
            <w:r>
              <w:t>资金支出计划（%）</w:t>
            </w:r>
          </w:p>
        </w:tc>
        <w:tc>
          <w:tcPr>
            <w:tcW w:w="2608" w:type="dxa"/>
            <w:gridSpan w:val="2"/>
            <w:vAlign w:val="center"/>
          </w:tcPr>
          <w:p w14:paraId="55F0289D">
            <w:pPr>
              <w:pStyle w:val="14"/>
            </w:pPr>
            <w:r>
              <w:t>3月底</w:t>
            </w:r>
          </w:p>
        </w:tc>
        <w:tc>
          <w:tcPr>
            <w:tcW w:w="1587" w:type="dxa"/>
            <w:vAlign w:val="center"/>
          </w:tcPr>
          <w:p w14:paraId="0E283E66">
            <w:pPr>
              <w:pStyle w:val="14"/>
            </w:pPr>
            <w:r>
              <w:t>6月底</w:t>
            </w:r>
          </w:p>
        </w:tc>
        <w:tc>
          <w:tcPr>
            <w:tcW w:w="1304" w:type="dxa"/>
            <w:vAlign w:val="center"/>
          </w:tcPr>
          <w:p w14:paraId="2333DBD7">
            <w:pPr>
              <w:pStyle w:val="14"/>
            </w:pPr>
            <w:r>
              <w:t>10月底</w:t>
            </w:r>
          </w:p>
        </w:tc>
        <w:tc>
          <w:tcPr>
            <w:tcW w:w="3119" w:type="dxa"/>
            <w:gridSpan w:val="2"/>
            <w:vAlign w:val="center"/>
          </w:tcPr>
          <w:p w14:paraId="10229A7F">
            <w:pPr>
              <w:pStyle w:val="14"/>
            </w:pPr>
            <w:r>
              <w:t>12月底</w:t>
            </w:r>
          </w:p>
        </w:tc>
      </w:tr>
      <w:tr w14:paraId="2EDC0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148B88"/>
        </w:tc>
        <w:tc>
          <w:tcPr>
            <w:tcW w:w="2608" w:type="dxa"/>
            <w:gridSpan w:val="2"/>
            <w:vAlign w:val="center"/>
          </w:tcPr>
          <w:p w14:paraId="2EF4E3F4">
            <w:pPr>
              <w:pStyle w:val="15"/>
            </w:pPr>
            <w:r>
              <w:t>30%</w:t>
            </w:r>
          </w:p>
        </w:tc>
        <w:tc>
          <w:tcPr>
            <w:tcW w:w="1587" w:type="dxa"/>
            <w:vAlign w:val="center"/>
          </w:tcPr>
          <w:p w14:paraId="1B41B2DF">
            <w:pPr>
              <w:pStyle w:val="15"/>
            </w:pPr>
            <w:r>
              <w:t>60%</w:t>
            </w:r>
          </w:p>
        </w:tc>
        <w:tc>
          <w:tcPr>
            <w:tcW w:w="1304" w:type="dxa"/>
            <w:vAlign w:val="center"/>
          </w:tcPr>
          <w:p w14:paraId="5C12B3AB">
            <w:pPr>
              <w:pStyle w:val="15"/>
            </w:pPr>
            <w:r>
              <w:t>80%</w:t>
            </w:r>
          </w:p>
        </w:tc>
        <w:tc>
          <w:tcPr>
            <w:tcW w:w="3119" w:type="dxa"/>
            <w:gridSpan w:val="2"/>
            <w:vAlign w:val="center"/>
          </w:tcPr>
          <w:p w14:paraId="22EE8CFA">
            <w:pPr>
              <w:pStyle w:val="15"/>
            </w:pPr>
            <w:r>
              <w:t>100%</w:t>
            </w:r>
          </w:p>
        </w:tc>
      </w:tr>
      <w:tr w14:paraId="58B30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68CE6">
            <w:pPr>
              <w:pStyle w:val="14"/>
            </w:pPr>
            <w:r>
              <w:t>绩效目标</w:t>
            </w:r>
          </w:p>
        </w:tc>
        <w:tc>
          <w:tcPr>
            <w:tcW w:w="8618" w:type="dxa"/>
            <w:gridSpan w:val="6"/>
            <w:vAlign w:val="center"/>
          </w:tcPr>
          <w:p w14:paraId="6D1BB906">
            <w:pPr>
              <w:pStyle w:val="13"/>
            </w:pPr>
            <w:r>
              <w:t>1.通过开展信访维稳工作,维护群众合法权益和全县社会和谐稳定。</w:t>
            </w:r>
          </w:p>
        </w:tc>
      </w:tr>
    </w:tbl>
    <w:p w14:paraId="45D3106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AE8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3FB7B">
            <w:pPr>
              <w:pStyle w:val="14"/>
            </w:pPr>
            <w:r>
              <w:t>一级指标</w:t>
            </w:r>
          </w:p>
        </w:tc>
        <w:tc>
          <w:tcPr>
            <w:tcW w:w="1276" w:type="dxa"/>
            <w:vAlign w:val="center"/>
          </w:tcPr>
          <w:p w14:paraId="3CF5BCBE">
            <w:pPr>
              <w:pStyle w:val="14"/>
            </w:pPr>
            <w:r>
              <w:t>二级指标</w:t>
            </w:r>
          </w:p>
        </w:tc>
        <w:tc>
          <w:tcPr>
            <w:tcW w:w="1332" w:type="dxa"/>
            <w:vAlign w:val="center"/>
          </w:tcPr>
          <w:p w14:paraId="26EFB1E5">
            <w:pPr>
              <w:pStyle w:val="14"/>
            </w:pPr>
            <w:r>
              <w:t>三级指标</w:t>
            </w:r>
          </w:p>
        </w:tc>
        <w:tc>
          <w:tcPr>
            <w:tcW w:w="2891" w:type="dxa"/>
            <w:vAlign w:val="center"/>
          </w:tcPr>
          <w:p w14:paraId="49FC2D8F">
            <w:pPr>
              <w:pStyle w:val="14"/>
            </w:pPr>
            <w:r>
              <w:t>绩效指标描述</w:t>
            </w:r>
          </w:p>
        </w:tc>
        <w:tc>
          <w:tcPr>
            <w:tcW w:w="1276" w:type="dxa"/>
            <w:vAlign w:val="center"/>
          </w:tcPr>
          <w:p w14:paraId="460857B8">
            <w:pPr>
              <w:pStyle w:val="14"/>
            </w:pPr>
            <w:r>
              <w:t>指标值</w:t>
            </w:r>
          </w:p>
        </w:tc>
        <w:tc>
          <w:tcPr>
            <w:tcW w:w="1843" w:type="dxa"/>
            <w:vAlign w:val="center"/>
          </w:tcPr>
          <w:p w14:paraId="1A2AE732">
            <w:pPr>
              <w:pStyle w:val="14"/>
            </w:pPr>
            <w:r>
              <w:t>指标值确定依据</w:t>
            </w:r>
          </w:p>
        </w:tc>
      </w:tr>
      <w:tr w14:paraId="42A9E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099EB">
            <w:pPr>
              <w:pStyle w:val="15"/>
            </w:pPr>
            <w:r>
              <w:t>产出指标</w:t>
            </w:r>
          </w:p>
        </w:tc>
        <w:tc>
          <w:tcPr>
            <w:tcW w:w="1276" w:type="dxa"/>
            <w:vAlign w:val="center"/>
          </w:tcPr>
          <w:p w14:paraId="25CA7750">
            <w:pPr>
              <w:pStyle w:val="13"/>
            </w:pPr>
            <w:r>
              <w:t>数量指标</w:t>
            </w:r>
          </w:p>
        </w:tc>
        <w:tc>
          <w:tcPr>
            <w:tcW w:w="1332" w:type="dxa"/>
            <w:vAlign w:val="center"/>
          </w:tcPr>
          <w:p w14:paraId="465446B1">
            <w:pPr>
              <w:pStyle w:val="13"/>
            </w:pPr>
            <w:r>
              <w:t>项目资金覆盖率</w:t>
            </w:r>
          </w:p>
        </w:tc>
        <w:tc>
          <w:tcPr>
            <w:tcW w:w="2891" w:type="dxa"/>
            <w:vAlign w:val="center"/>
          </w:tcPr>
          <w:p w14:paraId="23C6755C">
            <w:pPr>
              <w:pStyle w:val="13"/>
            </w:pPr>
            <w:r>
              <w:t>项目资金覆盖率</w:t>
            </w:r>
          </w:p>
        </w:tc>
        <w:tc>
          <w:tcPr>
            <w:tcW w:w="1276" w:type="dxa"/>
            <w:vAlign w:val="center"/>
          </w:tcPr>
          <w:p w14:paraId="75E9ABA5">
            <w:pPr>
              <w:pStyle w:val="13"/>
            </w:pPr>
            <w:r>
              <w:t>100%</w:t>
            </w:r>
          </w:p>
        </w:tc>
        <w:tc>
          <w:tcPr>
            <w:tcW w:w="1843" w:type="dxa"/>
            <w:vAlign w:val="center"/>
          </w:tcPr>
          <w:p w14:paraId="2656E5B4">
            <w:pPr>
              <w:pStyle w:val="13"/>
            </w:pPr>
            <w:r>
              <w:t>年初工作计划</w:t>
            </w:r>
          </w:p>
        </w:tc>
      </w:tr>
      <w:tr w14:paraId="75CA4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C4DC3B"/>
        </w:tc>
        <w:tc>
          <w:tcPr>
            <w:tcW w:w="1276" w:type="dxa"/>
            <w:vAlign w:val="center"/>
          </w:tcPr>
          <w:p w14:paraId="35BB8901">
            <w:pPr>
              <w:pStyle w:val="13"/>
            </w:pPr>
            <w:r>
              <w:t>质量指标</w:t>
            </w:r>
          </w:p>
        </w:tc>
        <w:tc>
          <w:tcPr>
            <w:tcW w:w="1332" w:type="dxa"/>
            <w:vAlign w:val="center"/>
          </w:tcPr>
          <w:p w14:paraId="7FF762DB">
            <w:pPr>
              <w:pStyle w:val="13"/>
            </w:pPr>
            <w:r>
              <w:t>维稳工作正常开展率</w:t>
            </w:r>
          </w:p>
        </w:tc>
        <w:tc>
          <w:tcPr>
            <w:tcW w:w="2891" w:type="dxa"/>
            <w:vAlign w:val="center"/>
          </w:tcPr>
          <w:p w14:paraId="5BC476E9">
            <w:pPr>
              <w:pStyle w:val="13"/>
            </w:pPr>
            <w:r>
              <w:t>维稳工作正常开展率</w:t>
            </w:r>
          </w:p>
        </w:tc>
        <w:tc>
          <w:tcPr>
            <w:tcW w:w="1276" w:type="dxa"/>
            <w:vAlign w:val="center"/>
          </w:tcPr>
          <w:p w14:paraId="7C25AEA8">
            <w:pPr>
              <w:pStyle w:val="13"/>
            </w:pPr>
            <w:r>
              <w:t>95%</w:t>
            </w:r>
          </w:p>
        </w:tc>
        <w:tc>
          <w:tcPr>
            <w:tcW w:w="1843" w:type="dxa"/>
            <w:vAlign w:val="center"/>
          </w:tcPr>
          <w:p w14:paraId="2374A71A">
            <w:pPr>
              <w:pStyle w:val="13"/>
            </w:pPr>
            <w:r>
              <w:t>年初工作计划</w:t>
            </w:r>
          </w:p>
        </w:tc>
      </w:tr>
      <w:tr w14:paraId="6E6D3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98C054"/>
        </w:tc>
        <w:tc>
          <w:tcPr>
            <w:tcW w:w="1276" w:type="dxa"/>
            <w:vAlign w:val="center"/>
          </w:tcPr>
          <w:p w14:paraId="375A8EEA">
            <w:pPr>
              <w:pStyle w:val="13"/>
            </w:pPr>
            <w:r>
              <w:t>时效指标</w:t>
            </w:r>
          </w:p>
        </w:tc>
        <w:tc>
          <w:tcPr>
            <w:tcW w:w="1332" w:type="dxa"/>
            <w:vAlign w:val="center"/>
          </w:tcPr>
          <w:p w14:paraId="4BD453C9">
            <w:pPr>
              <w:pStyle w:val="13"/>
            </w:pPr>
            <w:r>
              <w:t>信访事件受理及时率</w:t>
            </w:r>
          </w:p>
        </w:tc>
        <w:tc>
          <w:tcPr>
            <w:tcW w:w="2891" w:type="dxa"/>
            <w:vAlign w:val="center"/>
          </w:tcPr>
          <w:p w14:paraId="6F1C2494">
            <w:pPr>
              <w:pStyle w:val="13"/>
            </w:pPr>
            <w:r>
              <w:t>信访事件受理及时率</w:t>
            </w:r>
          </w:p>
        </w:tc>
        <w:tc>
          <w:tcPr>
            <w:tcW w:w="1276" w:type="dxa"/>
            <w:vAlign w:val="center"/>
          </w:tcPr>
          <w:p w14:paraId="366843CA">
            <w:pPr>
              <w:pStyle w:val="13"/>
            </w:pPr>
            <w:r>
              <w:t>95%</w:t>
            </w:r>
          </w:p>
        </w:tc>
        <w:tc>
          <w:tcPr>
            <w:tcW w:w="1843" w:type="dxa"/>
            <w:vAlign w:val="center"/>
          </w:tcPr>
          <w:p w14:paraId="644979B7">
            <w:pPr>
              <w:pStyle w:val="13"/>
            </w:pPr>
            <w:r>
              <w:t>年初工作计划</w:t>
            </w:r>
          </w:p>
        </w:tc>
      </w:tr>
      <w:tr w14:paraId="68780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4FFAE"/>
        </w:tc>
        <w:tc>
          <w:tcPr>
            <w:tcW w:w="1276" w:type="dxa"/>
            <w:vAlign w:val="center"/>
          </w:tcPr>
          <w:p w14:paraId="5E968C00">
            <w:pPr>
              <w:pStyle w:val="13"/>
            </w:pPr>
            <w:r>
              <w:t>成本指标</w:t>
            </w:r>
          </w:p>
        </w:tc>
        <w:tc>
          <w:tcPr>
            <w:tcW w:w="1332" w:type="dxa"/>
            <w:vAlign w:val="center"/>
          </w:tcPr>
          <w:p w14:paraId="171AD6D6">
            <w:pPr>
              <w:pStyle w:val="13"/>
            </w:pPr>
            <w:r>
              <w:t>预算金额</w:t>
            </w:r>
          </w:p>
        </w:tc>
        <w:tc>
          <w:tcPr>
            <w:tcW w:w="2891" w:type="dxa"/>
            <w:vAlign w:val="center"/>
          </w:tcPr>
          <w:p w14:paraId="416E5940">
            <w:pPr>
              <w:pStyle w:val="13"/>
            </w:pPr>
            <w:r>
              <w:t>是否超出预算金额</w:t>
            </w:r>
          </w:p>
        </w:tc>
        <w:tc>
          <w:tcPr>
            <w:tcW w:w="1276" w:type="dxa"/>
            <w:vAlign w:val="center"/>
          </w:tcPr>
          <w:p w14:paraId="77D04C78">
            <w:pPr>
              <w:pStyle w:val="13"/>
            </w:pPr>
            <w:r>
              <w:t>30万</w:t>
            </w:r>
          </w:p>
        </w:tc>
        <w:tc>
          <w:tcPr>
            <w:tcW w:w="1843" w:type="dxa"/>
            <w:vAlign w:val="center"/>
          </w:tcPr>
          <w:p w14:paraId="2AFF4480">
            <w:pPr>
              <w:pStyle w:val="13"/>
            </w:pPr>
            <w:r>
              <w:t>2024县级预算编制通知</w:t>
            </w:r>
          </w:p>
        </w:tc>
      </w:tr>
      <w:tr w14:paraId="51D74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91C4D">
            <w:pPr>
              <w:pStyle w:val="15"/>
            </w:pPr>
            <w:r>
              <w:t>效益指标</w:t>
            </w:r>
          </w:p>
        </w:tc>
        <w:tc>
          <w:tcPr>
            <w:tcW w:w="1276" w:type="dxa"/>
            <w:vAlign w:val="center"/>
          </w:tcPr>
          <w:p w14:paraId="3589D494">
            <w:pPr>
              <w:pStyle w:val="13"/>
            </w:pPr>
            <w:r>
              <w:t>社会效益指标</w:t>
            </w:r>
          </w:p>
        </w:tc>
        <w:tc>
          <w:tcPr>
            <w:tcW w:w="1332" w:type="dxa"/>
            <w:vAlign w:val="center"/>
          </w:tcPr>
          <w:p w14:paraId="5A4F7F55">
            <w:pPr>
              <w:pStyle w:val="13"/>
            </w:pPr>
            <w:r>
              <w:t>全县社会和谐稳定</w:t>
            </w:r>
          </w:p>
        </w:tc>
        <w:tc>
          <w:tcPr>
            <w:tcW w:w="2891" w:type="dxa"/>
            <w:vAlign w:val="center"/>
          </w:tcPr>
          <w:p w14:paraId="7D266428">
            <w:pPr>
              <w:pStyle w:val="13"/>
            </w:pPr>
            <w:r>
              <w:t>是否能够保障全县社会和谐稳定</w:t>
            </w:r>
          </w:p>
        </w:tc>
        <w:tc>
          <w:tcPr>
            <w:tcW w:w="1276" w:type="dxa"/>
            <w:vAlign w:val="center"/>
          </w:tcPr>
          <w:p w14:paraId="34881174">
            <w:pPr>
              <w:pStyle w:val="13"/>
            </w:pPr>
            <w:r>
              <w:t>得到保障</w:t>
            </w:r>
          </w:p>
        </w:tc>
        <w:tc>
          <w:tcPr>
            <w:tcW w:w="1843" w:type="dxa"/>
            <w:vAlign w:val="center"/>
          </w:tcPr>
          <w:p w14:paraId="267DFFDA">
            <w:pPr>
              <w:pStyle w:val="13"/>
            </w:pPr>
            <w:r>
              <w:t>年初工作计划</w:t>
            </w:r>
          </w:p>
        </w:tc>
      </w:tr>
      <w:tr w14:paraId="20840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C44D57">
            <w:pPr>
              <w:pStyle w:val="15"/>
            </w:pPr>
            <w:r>
              <w:t>满意度指标</w:t>
            </w:r>
          </w:p>
        </w:tc>
        <w:tc>
          <w:tcPr>
            <w:tcW w:w="1276" w:type="dxa"/>
            <w:vAlign w:val="center"/>
          </w:tcPr>
          <w:p w14:paraId="062F9EE9">
            <w:pPr>
              <w:pStyle w:val="13"/>
            </w:pPr>
            <w:r>
              <w:t>服务对象满意度指标</w:t>
            </w:r>
          </w:p>
        </w:tc>
        <w:tc>
          <w:tcPr>
            <w:tcW w:w="1332" w:type="dxa"/>
            <w:vAlign w:val="center"/>
          </w:tcPr>
          <w:p w14:paraId="36660A01">
            <w:pPr>
              <w:pStyle w:val="13"/>
            </w:pPr>
            <w:r>
              <w:t>信访群众满意度</w:t>
            </w:r>
          </w:p>
        </w:tc>
        <w:tc>
          <w:tcPr>
            <w:tcW w:w="2891" w:type="dxa"/>
            <w:vAlign w:val="center"/>
          </w:tcPr>
          <w:p w14:paraId="54BDC499">
            <w:pPr>
              <w:pStyle w:val="13"/>
            </w:pPr>
            <w:r>
              <w:t>信访群众满意度</w:t>
            </w:r>
          </w:p>
        </w:tc>
        <w:tc>
          <w:tcPr>
            <w:tcW w:w="1276" w:type="dxa"/>
            <w:vAlign w:val="center"/>
          </w:tcPr>
          <w:p w14:paraId="11FF131F">
            <w:pPr>
              <w:pStyle w:val="13"/>
            </w:pPr>
            <w:r>
              <w:t>≥90%</w:t>
            </w:r>
          </w:p>
        </w:tc>
        <w:tc>
          <w:tcPr>
            <w:tcW w:w="1843" w:type="dxa"/>
            <w:vAlign w:val="center"/>
          </w:tcPr>
          <w:p w14:paraId="66CDFA4F">
            <w:pPr>
              <w:pStyle w:val="13"/>
            </w:pPr>
            <w:r>
              <w:t>年初工作计划</w:t>
            </w:r>
          </w:p>
        </w:tc>
      </w:tr>
    </w:tbl>
    <w:p w14:paraId="2CCF0F0C"/>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78FC">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339B">
    <w:pPr>
      <w:jc w:val="left"/>
    </w:pPr>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547645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2890</Words>
  <Characters>3043</Characters>
  <TotalTime>1</TotalTime>
  <ScaleCrop>false</ScaleCrop>
  <LinksUpToDate>false</LinksUpToDate>
  <CharactersWithSpaces>3111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2025-03-13T10:09:00Z</dcterms:created>
  <dc:creator>Administrator</dc:creator>
  <cp:lastModifiedBy>师新月</cp:lastModifiedBy>
  <dcterms:modified xsi:type="dcterms:W3CDTF">2025-03-28T01:51:49Z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eyJoZGlkIjoiZDIzNTVlYTAzYWZlY2Q5OGU2ZmNiNmYzZmQyMWJmM2QiLCJ1c2VySWQiOiIzNDk4ODc1NDYifQ==</vt:lpwstr>
  </property>
  <property fmtid="{D5CDD505-2E9C-101B-9397-08002B2CF9AE}" pid="3" name="KSOProductBuildVer">
    <vt:lpwstr>2052-12.1.0.20305</vt:lpwstr>
  </property>
  <property fmtid="{D5CDD505-2E9C-101B-9397-08002B2CF9AE}" pid="4" name="ICV">
    <vt:lpwstr>66D03B60DE7845BFBCD1024E298867C2_12</vt:lpwstr>
  </property>
</Properties>
</file>