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中国人民政治协商会议河北省怀来县委员会</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中国人民政治协商会议河北省怀来县委员会编制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ectPr>
          <w:footerReference w:type="even" r:id="rId1"/>
          <w:footerReference w:type="default" r:id="rId2"/>
          <w:type w:val="nextPage"/>
          <w:pgSz w:w="11900" w:h="16840" w:orient="portrait"/>
          <w:pgMar w:top="1984" w:right="1304" w:bottom="1134" w:left="1304" w:header="720" w:footer="720" w:gutter="0"/>
          <w:pgBorders/>
          <w:pgNumType w:start="1"/>
        </w:sectPr>
      </w:pPr>
      <w:r>
        <w:br w:type="page"/>
      </w:r>
      <w:r>
        <w:rPr/>
        <w:br/>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县政协在中共怀来县委坚强领导下，将始终坚持以习近平新时代中国特色社会主义思想为指导，全面贯彻落实中共二十大、二十届二中、三中全会精神，深入学习贯彻习近平总书记在庆祝中国人民政治协商会议成立75周年大会上的重要讲话精神，坚持团结和民主两大主题，积极践行全过程人民民主，充分发挥专门协商机构作用，认真履行政治协商、民主监督、参政议政职能，引导广大政协委员和社会各界有序政治参与，广泛凝聚人心、汇聚力量，把“十个坚持”作为做好人民政协工作的根本遵循，全面贯彻落实中央和省委、市委、县委决策部署，在发展全过程人民民主中，把人民政协的显著政治优势更加充分地发挥出来，不断巩固和发展生动活泼、安定团结的政治局面，为圆满完成我县“十四五”规划、实现全年经济社会发展目标汇聚智慧和力量为全县高质量发展做出积极贡献。</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（一）强化政治引领，提升新境界</w:t>
      </w:r>
    </w:p>
    <w:p>
      <w:pPr>
        <w:pStyle w:val="插入文本样式-插入职责分类绩效目标文件"/>
      </w:pPr>
      <w:r>
        <w:t xml:space="preserve">绩效目标：始终把坚持和发展中国特色社会主义作为巩固共同思想政治基础的主轴，把习近平新时代中国特色社会主义思想作为统揽政协工作的总纲。</w:t>
      </w:r>
    </w:p>
    <w:p>
      <w:pPr>
        <w:pStyle w:val="插入文本样式-插入职责分类绩效目标文件"/>
      </w:pPr>
      <w:r>
        <w:t xml:space="preserve">绩效指标：全年开展党建学习活动不少于4次，把学习成效转化为政治协商、民主监督、参政议政的能力本领，转化为高水平履职尽责的工作实践。</w:t>
      </w:r>
    </w:p>
    <w:p>
      <w:pPr>
        <w:pStyle w:val="插入文本样式-插入职责分类绩效目标文件"/>
      </w:pPr>
      <w:r>
        <w:t xml:space="preserve">（二）秉持改革思维，展现新作为</w:t>
      </w:r>
    </w:p>
    <w:p>
      <w:pPr>
        <w:pStyle w:val="插入文本样式-插入职责分类绩效目标文件"/>
      </w:pPr>
      <w:r>
        <w:t xml:space="preserve">绩效目标：牢牢把握高质量发展首要任务，与县委同频共振、同向发力，在助力发展、改革创新中聚政协之智、展政协之为。</w:t>
      </w:r>
    </w:p>
    <w:p>
      <w:pPr>
        <w:pStyle w:val="插入文本样式-插入职责分类绩效目标文件"/>
      </w:pPr>
      <w:r>
        <w:t xml:space="preserve">绩效指标：全年组织2次专题议政性常委会议、5次专题协商会、5次协商座谈会，以改革思维开展协商议政，建改革之言、献改革之策。</w:t>
      </w:r>
    </w:p>
    <w:p>
      <w:pPr>
        <w:pStyle w:val="插入文本样式-插入职责分类绩效目标文件"/>
      </w:pPr>
      <w:r>
        <w:t xml:space="preserve">（三）打造过硬队伍，在履职能力上实现新提升</w:t>
      </w:r>
    </w:p>
    <w:p>
      <w:pPr>
        <w:pStyle w:val="插入文本样式-插入职责分类绩效目标文件"/>
      </w:pPr>
      <w:r>
        <w:t xml:space="preserve">绩效目标：严格落实新时代加强和改进政协工作要求，加强“两支队伍”建设，营造民主协商氛围，推动政协工作提质增效。</w:t>
      </w:r>
    </w:p>
    <w:p>
      <w:pPr>
        <w:pStyle w:val="插入文本样式-插入职责分类绩效目标文件"/>
      </w:pPr>
      <w:r>
        <w:t xml:space="preserve">绩效指标：以专委会为主体开展常态化走访不少于5次，最大限度地激发委员的聪明才智和工作潜能。</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（一）完善制度建设。包括制定完善预算绩效管理制度、资金管理办法、工作保障制度等，为全年预算绩效目标的实现奠定制度基础。</w:t>
      </w:r>
    </w:p>
    <w:p>
      <w:pPr>
        <w:pStyle w:val="插入文本样式-插入实现年度发展规划目标的保障措施文件"/>
      </w:pPr>
      <w:r>
        <w:t xml:space="preserve">（二）加强支出管理。通过优化支出结构、编细编实预算、加快履行政府采购手续、尽快启动项目、及时支付资金、6月底前细化代编预算、按规定及时下达资金等多种措施，确保支出进度达标。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（三）加强绩效运行监控。按要求开展绩效运行监控，发现问题及时采取措施，确保绩效目标如期保质实现。</w:t>
      </w:r>
    </w:p>
    <w:p>
      <w:pPr>
        <w:pStyle w:val="插入文本样式-插入实现年度发展规划目标的保障措施文件"/>
      </w:pPr>
      <w:r>
        <w:t xml:space="preserve">（四）做好绩效自评。按要求开展上年度部门预算绩效自评和重点评价工作，对评价中发现的问题及时整改，调整优化支出结构，提高财政资金使用效益。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（五）规范财务资金管理。完善财务管理制度，严格审批程序，加强固定资产登记、使用和报废处置管理，做到支出合理，物尽其用。</w:t>
      </w:r>
    </w:p>
    <w:p>
      <w:pPr>
        <w:pStyle w:val="插入文本样式-插入实现年度发展规划目标的保障措施文件"/>
      </w:pPr>
      <w:r>
        <w:t xml:space="preserve">（六）加强内部监督。加强内部监督制度建设，对绩效运行情况、重大支出决策、对外投资、资产处置及其他重要经济业务事项的决策和执行进行监督，对相关资金进行内部审计，并配合好审计、财政监督等外部监督工作，确保财政资金安全有效。</w:t>
      </w:r>
    </w:p>
    <w:p>
      <w:pPr>
        <w:pStyle w:val="插入文本样式-插入实现年度发展规划目标的保障措施文件"/>
      </w:pPr>
      <w:r>
        <w:t xml:space="preserve">（七）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ind w:firstLine="0"/>
        <w:jc w:val="center"/>
        <w:outlineLvl w:val="9"/>
      </w:pPr>
      <w:r>
        <w:rPr>
          <w:rFonts w:ascii="方正书宋_GBK" w:eastAsia="方正书宋_GBK" w:hAnsi="方正书宋_GBK" w:cs="方正书宋_GBK"/>
          <w:color w:val="000000"/>
          <w:sz w:val="21"/>
        </w:rPr>
        <w:t xml:space="preserve"> </w:t>
      </w:r>
    </w:p>
    <w:sectPr>
      <w:type w:val="nextPage"/>
      <w:pgSz w:w="11900" w:h="16840" w:orient="portrait"/>
      <w:pgMar w:top="1984" w:right="1304" w:bottom="1134" w:left="1304" w:header="720" w:footer="720" w:gutter="0"/>
      <w:pgBorders/>
      <w:pgNumType w:start="1"/>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6</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2025-03-13T10:06:48Z</dcterms:created>
  <dcterms:modified xsi:type="dcterms:W3CDTF">2025-03-13T10:06:48Z</dcterms:modified>
</cp:coreProperties>
</file>