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D8D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B3EAB9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0840A2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EA36D2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怀来县人民代表大会常务委员会</w:t>
      </w:r>
    </w:p>
    <w:p w14:paraId="74E4A41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1ED1C94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7A8DDD6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CD7D8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830E5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85CC5F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529CB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5EEED0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486AA9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4FF44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BDA96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9FFBB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A8BF22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06F2BC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4E0170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F0CC4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EC6A3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30577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01361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49911E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E5E22F7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怀来县人民代表大会常务委员会编制</w:t>
      </w:r>
    </w:p>
    <w:p w14:paraId="2209A400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76E5CF0A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28B1B57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4237CD1A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99B982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670E817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655F7E3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73B0A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D50FC9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80CA67D">
      <w:r>
        <w:fldChar w:fldCharType="end"/>
      </w:r>
    </w:p>
    <w:p w14:paraId="3C060E0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42CA51A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1.[13073025X000010000887]怀财字【2025】7号 代表工作绩效目标表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775644">
      <w:r>
        <w:fldChar w:fldCharType="end"/>
      </w:r>
    </w:p>
    <w:p w14:paraId="242F4CF8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7B23A52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FEAFED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6912B94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7981118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6123A69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6E26E2C7">
      <w:pPr>
        <w:pStyle w:val="8"/>
      </w:pPr>
      <w:r>
        <w:t>进行执法调研和执法检查；围绕政府工作报告和“一府一委两院”工作涉及内容开展调查研究，开展专题询问和工作评议：对“一府一委两院”进行监督；承接“一府一委两院”办理代表建议、议案；组织开展专题询问和工作评议。县人民代表大会常务委员会各种会议的筹备、会务工作，负责常委会文件起草、审核把关，人代会、常委会会议、主任会议及常委会党组会议决定事项、工作部署、重要文件及领导批示的传达和督办。人代会及常委会会议表决系统、机关基础设施建设与维护；准确把握新时代人大工作的职责使命，认真落实“抓改革、求突破，争一流、当冠军”总要求，选精选准监督课题，落实落细监督切口，强化跟踪问效，夯实工作闭环，促进法律法规有力执行和决策部署有效落地。完善预算联网监督系统建设，强化人大预算决算审查监督和国有资产管理监督。优化对“一府一委两院”依法监督机制，开展常态化监督，确保行政权、监察权、审判权和检察权依法正确实施。聚焦民生福祉，紧盯医疗保障、科教事业、人居环境等领域开展专项监督，不断推动民生改善和社会事业发展。围绕乡村振兴、重大项目建设、大数据产业发展等重点工作，打好监督“组合拳”，让发展成绩更有“厚度”，惠民答卷更有“温度”。县人大</w:t>
      </w:r>
      <w:r>
        <w:rPr>
          <w:rFonts w:hint="eastAsia"/>
          <w:lang w:eastAsia="zh-CN"/>
        </w:rPr>
        <w:t>常委会</w:t>
      </w:r>
      <w:r>
        <w:t>机关日常管理事务；公报及各项会议的编辑印刷；信访工作；老干部工作；市人大交办的有关工作。</w:t>
      </w:r>
    </w:p>
    <w:p w14:paraId="11EE6A80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32939B4F">
      <w:pPr>
        <w:pStyle w:val="9"/>
      </w:pPr>
      <w:r>
        <w:t>(一)坚持依靠党的领导，切实增强使命担当</w:t>
      </w:r>
    </w:p>
    <w:p w14:paraId="2F09730F">
      <w:pPr>
        <w:pStyle w:val="9"/>
      </w:pPr>
    </w:p>
    <w:p w14:paraId="109AA199">
      <w:pPr>
        <w:pStyle w:val="9"/>
      </w:pPr>
      <w:r>
        <w:t>绩效目标：自觉把人民权利落实到监督工作全过程，把人民呼声融入到代表工作各方面，努力开创新时代人大工作新局面。</w:t>
      </w:r>
    </w:p>
    <w:p w14:paraId="3BAAEA9A">
      <w:pPr>
        <w:pStyle w:val="9"/>
      </w:pPr>
      <w:r>
        <w:t>绩效指标：及时召开不少于6次人大常委会，使党的主张通过法定程序成为全县人民的意志。</w:t>
      </w:r>
    </w:p>
    <w:p w14:paraId="1EEE1923">
      <w:pPr>
        <w:pStyle w:val="9"/>
      </w:pPr>
    </w:p>
    <w:p w14:paraId="0C51AC68">
      <w:pPr>
        <w:pStyle w:val="9"/>
      </w:pPr>
      <w:r>
        <w:t>(二)持续加强服务保障，充分发挥代表作用</w:t>
      </w:r>
    </w:p>
    <w:p w14:paraId="703DAB71">
      <w:pPr>
        <w:pStyle w:val="9"/>
      </w:pPr>
      <w:r>
        <w:t>绩效目标：进一步加强人大代表联络站和网上代表之家的建、管、用，组织代表开展学习培训、视察调研、走访群众、履职交流等活动，强化代表履职服务保障，不断增强代表工作生机活力，着力打造家站规范化运行示范点。</w:t>
      </w:r>
    </w:p>
    <w:p w14:paraId="2BE47B74">
      <w:pPr>
        <w:pStyle w:val="9"/>
      </w:pPr>
      <w:r>
        <w:t>绩效指标：开展不少于2次代表建议督办，坚持完善代表建议办理和督办工作机制，强化跟踪问效，</w:t>
      </w:r>
    </w:p>
    <w:p w14:paraId="27A29596">
      <w:pPr>
        <w:pStyle w:val="9"/>
      </w:pPr>
    </w:p>
    <w:p w14:paraId="04170388">
      <w:pPr>
        <w:pStyle w:val="9"/>
      </w:pPr>
      <w:r>
        <w:t>(三)不断强化自身建设，着力打造“四个机关”</w:t>
      </w:r>
    </w:p>
    <w:p w14:paraId="244D9F31">
      <w:pPr>
        <w:pStyle w:val="9"/>
      </w:pPr>
      <w:r>
        <w:t>绩效目标：着力加强制度体系建设，完善常委会党组、常委会、主任会议等会议议事规则和程序规定，使人大工作更好地体现时代性、把握规律性、富</w:t>
      </w:r>
      <w:r>
        <w:rPr>
          <w:rFonts w:hint="eastAsia"/>
          <w:lang w:eastAsia="zh-CN"/>
        </w:rPr>
        <w:t>于</w:t>
      </w:r>
      <w:bookmarkStart w:id="4" w:name="_GoBack"/>
      <w:bookmarkEnd w:id="4"/>
      <w:r>
        <w:t>创造性。</w:t>
      </w:r>
    </w:p>
    <w:p w14:paraId="223ADB84">
      <w:pPr>
        <w:pStyle w:val="9"/>
      </w:pPr>
      <w:r>
        <w:t>绩效指标：机关每年开展不少于4次集中学习，强化人大干部依法履职的责任担当，激发工作活力，激活创新动力，努力打造一支政治坚定、服务人民、尊崇法治、勤勉尽责的人大工作队伍。</w:t>
      </w:r>
    </w:p>
    <w:p w14:paraId="5125C1BC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201B6081">
      <w:pPr>
        <w:pStyle w:val="10"/>
      </w:pPr>
      <w:r>
        <w:t>（一）完善制度建设。包括制定完善预算绩效管理制度、资金管理办法、工作保障制度等，为全年预算绩效目标的实现奠定制度基础。</w:t>
      </w:r>
    </w:p>
    <w:p w14:paraId="01665709">
      <w:pPr>
        <w:pStyle w:val="10"/>
      </w:pPr>
      <w:r>
        <w:t>（二）加强支出管理。通过优化支出结构、编细编实预算、加快履行政府采购手续、尽快启动项目、及时支付资金、6月底前细化代编预算、按规定及时下达资金等多种措施，确保支出进度达标。</w:t>
      </w:r>
    </w:p>
    <w:p w14:paraId="7C16E74A">
      <w:pPr>
        <w:pStyle w:val="10"/>
      </w:pPr>
      <w:r>
        <w:t>（三）加强绩效运行监控。按要求开展绩效运行监控，发现问题及时采取措施，确保绩效目标如期保质实现。</w:t>
      </w:r>
    </w:p>
    <w:p w14:paraId="1AD57FF9">
      <w:pPr>
        <w:pStyle w:val="10"/>
      </w:pPr>
      <w:r>
        <w:t>（四）做好绩效自评。按要求开展上年度部门预算绩效自评和重点评价工作，对评价中发现的问题及时整改，调整优化支出结构，提高财政资金使用效益。</w:t>
      </w:r>
    </w:p>
    <w:p w14:paraId="18453DC2">
      <w:pPr>
        <w:pStyle w:val="10"/>
      </w:pPr>
      <w:r>
        <w:t>（五）规范财务资金管理。完善财务管理制度，严格审批程序，加强固定资产登记、使用和报废处置管理，做到支出合理，物尽其用。</w:t>
      </w:r>
    </w:p>
    <w:p w14:paraId="258D9689">
      <w:pPr>
        <w:pStyle w:val="10"/>
      </w:pPr>
      <w:r>
        <w:t>（六）加强内部监督。加强内部监督制度建设，对绩效运行情况、重大支出决策、对外投资、资产处置及其他重要经济业务事项的决策和执行进行监督，对相关资金进行内部审计，并配合好审计、财政监督等外部监督工作，确保财政资金安全有效。</w:t>
      </w:r>
    </w:p>
    <w:p w14:paraId="59546250">
      <w:pPr>
        <w:pStyle w:val="10"/>
      </w:pPr>
      <w:r>
        <w:t>（七）加强宣传培训调研等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 w14:paraId="51C2A605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1CFB6C9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AA5B5C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999380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EEEEFD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73CEECC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2990F6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1E6BB2E3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10586A0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A339B9F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1.[13073025X000010000887]怀财字【2025】7号 代表工作绩效目标表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ED231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F2D970">
            <w:pPr>
              <w:pStyle w:val="12"/>
            </w:pPr>
            <w:r>
              <w:t>101001怀来县人民代表大会常务委员会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B65F2C">
            <w:pPr>
              <w:pStyle w:val="11"/>
            </w:pPr>
            <w:r>
              <w:t>单位：万元</w:t>
            </w:r>
          </w:p>
        </w:tc>
      </w:tr>
      <w:tr w14:paraId="51104B6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33C05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8BFF903">
            <w:pPr>
              <w:pStyle w:val="13"/>
            </w:pPr>
            <w:r>
              <w:t>13073025P000887100017</w:t>
            </w:r>
          </w:p>
        </w:tc>
        <w:tc>
          <w:tcPr>
            <w:tcW w:w="1587" w:type="dxa"/>
            <w:vAlign w:val="center"/>
          </w:tcPr>
          <w:p w14:paraId="7C26D76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D7FED50">
            <w:pPr>
              <w:pStyle w:val="13"/>
            </w:pPr>
            <w:r>
              <w:t>[13073025X000010000887]怀财字【2025】7号 代表工作</w:t>
            </w:r>
          </w:p>
        </w:tc>
      </w:tr>
      <w:tr w14:paraId="5583F45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F899B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B39A5F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4579447">
            <w:pPr>
              <w:pStyle w:val="13"/>
            </w:pPr>
            <w:r>
              <w:t>5.36</w:t>
            </w:r>
          </w:p>
        </w:tc>
        <w:tc>
          <w:tcPr>
            <w:tcW w:w="1587" w:type="dxa"/>
            <w:vAlign w:val="center"/>
          </w:tcPr>
          <w:p w14:paraId="514491C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7BD0507">
            <w:pPr>
              <w:pStyle w:val="13"/>
            </w:pPr>
            <w:r>
              <w:t>5.36</w:t>
            </w:r>
          </w:p>
        </w:tc>
        <w:tc>
          <w:tcPr>
            <w:tcW w:w="1276" w:type="dxa"/>
            <w:vAlign w:val="center"/>
          </w:tcPr>
          <w:p w14:paraId="088A8BE1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C9D069F">
            <w:pPr>
              <w:pStyle w:val="13"/>
            </w:pPr>
            <w:r>
              <w:t xml:space="preserve"> </w:t>
            </w:r>
          </w:p>
        </w:tc>
      </w:tr>
      <w:tr w14:paraId="1F60E0C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5BC393D"/>
        </w:tc>
        <w:tc>
          <w:tcPr>
            <w:tcW w:w="8618" w:type="dxa"/>
            <w:gridSpan w:val="6"/>
            <w:vAlign w:val="center"/>
          </w:tcPr>
          <w:p w14:paraId="6283BFDA">
            <w:pPr>
              <w:pStyle w:val="13"/>
            </w:pPr>
            <w:r>
              <w:t>组织省市县人大代表视察调研</w:t>
            </w:r>
          </w:p>
        </w:tc>
      </w:tr>
      <w:tr w14:paraId="18B55CB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E8840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BBC88B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19DEFF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419CCA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CC89B97">
            <w:pPr>
              <w:pStyle w:val="14"/>
            </w:pPr>
            <w:r>
              <w:t>12月底</w:t>
            </w:r>
          </w:p>
        </w:tc>
      </w:tr>
      <w:tr w14:paraId="2BCAC20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5FB0094"/>
        </w:tc>
        <w:tc>
          <w:tcPr>
            <w:tcW w:w="2608" w:type="dxa"/>
            <w:gridSpan w:val="2"/>
            <w:vAlign w:val="center"/>
          </w:tcPr>
          <w:p w14:paraId="57E6C7FA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7A14914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F649C90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37FE335">
            <w:pPr>
              <w:pStyle w:val="15"/>
            </w:pPr>
            <w:r>
              <w:t>100%</w:t>
            </w:r>
          </w:p>
        </w:tc>
      </w:tr>
      <w:tr w14:paraId="7EE69A7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CEE12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69120CA">
            <w:pPr>
              <w:pStyle w:val="13"/>
            </w:pPr>
            <w:r>
              <w:t>1.组织省、市、县代表视察、调研本县重点工作</w:t>
            </w:r>
          </w:p>
        </w:tc>
      </w:tr>
    </w:tbl>
    <w:p w14:paraId="3BC68E7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FBC03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E9A413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F78DD1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E4AD31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7658BF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5EE69C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80A355D">
            <w:pPr>
              <w:pStyle w:val="14"/>
            </w:pPr>
            <w:r>
              <w:t>指标值确定依据</w:t>
            </w:r>
          </w:p>
        </w:tc>
      </w:tr>
      <w:tr w14:paraId="77C98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5AFCB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6212E5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7FC14BE">
            <w:pPr>
              <w:pStyle w:val="13"/>
            </w:pPr>
            <w:r>
              <w:t>临时会议保障率</w:t>
            </w:r>
          </w:p>
          <w:p w14:paraId="3BEFE014">
            <w:pPr>
              <w:pStyle w:val="13"/>
            </w:pPr>
          </w:p>
        </w:tc>
        <w:tc>
          <w:tcPr>
            <w:tcW w:w="2891" w:type="dxa"/>
            <w:vAlign w:val="center"/>
          </w:tcPr>
          <w:p w14:paraId="5AA54A3F">
            <w:pPr>
              <w:pStyle w:val="13"/>
            </w:pPr>
            <w:r>
              <w:t>临时会议保障率</w:t>
            </w:r>
          </w:p>
          <w:p w14:paraId="2EA25646">
            <w:pPr>
              <w:pStyle w:val="13"/>
            </w:pPr>
          </w:p>
        </w:tc>
        <w:tc>
          <w:tcPr>
            <w:tcW w:w="1276" w:type="dxa"/>
            <w:vAlign w:val="center"/>
          </w:tcPr>
          <w:p w14:paraId="19E25A37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1E059545">
            <w:pPr>
              <w:pStyle w:val="13"/>
            </w:pPr>
            <w:r>
              <w:t>视察次数</w:t>
            </w:r>
          </w:p>
        </w:tc>
      </w:tr>
      <w:tr w14:paraId="5594C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F68B61"/>
        </w:tc>
        <w:tc>
          <w:tcPr>
            <w:tcW w:w="1276" w:type="dxa"/>
            <w:vAlign w:val="center"/>
          </w:tcPr>
          <w:p w14:paraId="5540130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F4D44CD">
            <w:pPr>
              <w:pStyle w:val="13"/>
            </w:pPr>
            <w:r>
              <w:t>检查覆盖率</w:t>
            </w:r>
          </w:p>
        </w:tc>
        <w:tc>
          <w:tcPr>
            <w:tcW w:w="2891" w:type="dxa"/>
            <w:vAlign w:val="center"/>
          </w:tcPr>
          <w:p w14:paraId="5A8E9956">
            <w:pPr>
              <w:pStyle w:val="13"/>
            </w:pPr>
            <w:r>
              <w:t>检查覆盖率</w:t>
            </w:r>
          </w:p>
        </w:tc>
        <w:tc>
          <w:tcPr>
            <w:tcW w:w="1276" w:type="dxa"/>
            <w:vAlign w:val="center"/>
          </w:tcPr>
          <w:p w14:paraId="3A6C6813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40542144">
            <w:pPr>
              <w:pStyle w:val="13"/>
            </w:pPr>
            <w:r>
              <w:t>视察次数</w:t>
            </w:r>
          </w:p>
        </w:tc>
      </w:tr>
      <w:tr w14:paraId="493064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C5BC30"/>
        </w:tc>
        <w:tc>
          <w:tcPr>
            <w:tcW w:w="1276" w:type="dxa"/>
            <w:vAlign w:val="center"/>
          </w:tcPr>
          <w:p w14:paraId="63D206B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16A4E0">
            <w:pPr>
              <w:pStyle w:val="13"/>
            </w:pPr>
            <w:r>
              <w:t>检验按时完成率</w:t>
            </w:r>
          </w:p>
        </w:tc>
        <w:tc>
          <w:tcPr>
            <w:tcW w:w="2891" w:type="dxa"/>
            <w:vAlign w:val="center"/>
          </w:tcPr>
          <w:p w14:paraId="577DE009">
            <w:pPr>
              <w:pStyle w:val="13"/>
            </w:pPr>
            <w:r>
              <w:t>检验按时完成率</w:t>
            </w:r>
          </w:p>
        </w:tc>
        <w:tc>
          <w:tcPr>
            <w:tcW w:w="1276" w:type="dxa"/>
            <w:vAlign w:val="center"/>
          </w:tcPr>
          <w:p w14:paraId="42C86E5F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22C00C65">
            <w:pPr>
              <w:pStyle w:val="13"/>
            </w:pPr>
            <w:r>
              <w:t>视察次数</w:t>
            </w:r>
          </w:p>
        </w:tc>
      </w:tr>
      <w:tr w14:paraId="05D1A3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9A77E3"/>
        </w:tc>
        <w:tc>
          <w:tcPr>
            <w:tcW w:w="1276" w:type="dxa"/>
            <w:vAlign w:val="center"/>
          </w:tcPr>
          <w:p w14:paraId="319E9A7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14F59FB">
            <w:pPr>
              <w:pStyle w:val="13"/>
            </w:pPr>
            <w:r>
              <w:t>节资率</w:t>
            </w:r>
          </w:p>
        </w:tc>
        <w:tc>
          <w:tcPr>
            <w:tcW w:w="2891" w:type="dxa"/>
            <w:vAlign w:val="center"/>
          </w:tcPr>
          <w:p w14:paraId="4E8C9D04">
            <w:pPr>
              <w:pStyle w:val="13"/>
            </w:pPr>
            <w:r>
              <w:t>节资率</w:t>
            </w:r>
          </w:p>
        </w:tc>
        <w:tc>
          <w:tcPr>
            <w:tcW w:w="1276" w:type="dxa"/>
            <w:vAlign w:val="center"/>
          </w:tcPr>
          <w:p w14:paraId="3A2B8A95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61824C24">
            <w:pPr>
              <w:pStyle w:val="13"/>
            </w:pPr>
            <w:r>
              <w:t>视察次数</w:t>
            </w:r>
          </w:p>
        </w:tc>
      </w:tr>
      <w:tr w14:paraId="5F1C2C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A87E5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7C97507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F70A914">
            <w:pPr>
              <w:pStyle w:val="13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3C0C2A98">
            <w:pPr>
              <w:pStyle w:val="13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 w14:paraId="30AE0C91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73C953EF">
            <w:pPr>
              <w:pStyle w:val="13"/>
            </w:pPr>
            <w:r>
              <w:t>视察次数</w:t>
            </w:r>
          </w:p>
        </w:tc>
      </w:tr>
      <w:tr w14:paraId="4C07C5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1FCF09"/>
        </w:tc>
        <w:tc>
          <w:tcPr>
            <w:tcW w:w="1276" w:type="dxa"/>
            <w:vAlign w:val="center"/>
          </w:tcPr>
          <w:p w14:paraId="429E1ED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6E50B2F">
            <w:pPr>
              <w:pStyle w:val="13"/>
            </w:pPr>
            <w:r>
              <w:t>服务效率</w:t>
            </w:r>
          </w:p>
        </w:tc>
        <w:tc>
          <w:tcPr>
            <w:tcW w:w="2891" w:type="dxa"/>
            <w:vAlign w:val="center"/>
          </w:tcPr>
          <w:p w14:paraId="20C35159">
            <w:pPr>
              <w:pStyle w:val="13"/>
            </w:pPr>
            <w:r>
              <w:t>服务效率</w:t>
            </w:r>
          </w:p>
        </w:tc>
        <w:tc>
          <w:tcPr>
            <w:tcW w:w="1276" w:type="dxa"/>
            <w:vAlign w:val="center"/>
          </w:tcPr>
          <w:p w14:paraId="76721B99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77D2B2A6">
            <w:pPr>
              <w:pStyle w:val="13"/>
            </w:pPr>
            <w:r>
              <w:t>视察次数</w:t>
            </w:r>
          </w:p>
        </w:tc>
      </w:tr>
      <w:tr w14:paraId="5AB2EB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8501B7"/>
        </w:tc>
        <w:tc>
          <w:tcPr>
            <w:tcW w:w="1276" w:type="dxa"/>
            <w:vAlign w:val="center"/>
          </w:tcPr>
          <w:p w14:paraId="742BACCC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D701A1A">
            <w:pPr>
              <w:pStyle w:val="13"/>
            </w:pPr>
            <w:r>
              <w:t>促进地区生态和谐发展情况</w:t>
            </w:r>
          </w:p>
        </w:tc>
        <w:tc>
          <w:tcPr>
            <w:tcW w:w="2891" w:type="dxa"/>
            <w:vAlign w:val="center"/>
          </w:tcPr>
          <w:p w14:paraId="29E7241B">
            <w:pPr>
              <w:pStyle w:val="13"/>
            </w:pPr>
            <w:r>
              <w:t>促进地区生态和谐发展情况</w:t>
            </w:r>
          </w:p>
        </w:tc>
        <w:tc>
          <w:tcPr>
            <w:tcW w:w="1276" w:type="dxa"/>
            <w:vAlign w:val="center"/>
          </w:tcPr>
          <w:p w14:paraId="5173C656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340DD215">
            <w:pPr>
              <w:pStyle w:val="13"/>
            </w:pPr>
            <w:r>
              <w:t>视察次数</w:t>
            </w:r>
          </w:p>
        </w:tc>
      </w:tr>
      <w:tr w14:paraId="49B79B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70D518"/>
        </w:tc>
        <w:tc>
          <w:tcPr>
            <w:tcW w:w="1276" w:type="dxa"/>
            <w:vAlign w:val="center"/>
          </w:tcPr>
          <w:p w14:paraId="5A14181E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0BB746F">
            <w:pPr>
              <w:pStyle w:val="13"/>
            </w:pPr>
            <w:r>
              <w:t>提升人员素质</w:t>
            </w:r>
          </w:p>
        </w:tc>
        <w:tc>
          <w:tcPr>
            <w:tcW w:w="2891" w:type="dxa"/>
            <w:vAlign w:val="center"/>
          </w:tcPr>
          <w:p w14:paraId="062A266B">
            <w:pPr>
              <w:pStyle w:val="13"/>
            </w:pPr>
            <w:r>
              <w:t>提升人员素质</w:t>
            </w:r>
          </w:p>
        </w:tc>
        <w:tc>
          <w:tcPr>
            <w:tcW w:w="1276" w:type="dxa"/>
            <w:vAlign w:val="center"/>
          </w:tcPr>
          <w:p w14:paraId="08E8D8CC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0ECEC0B2">
            <w:pPr>
              <w:pStyle w:val="13"/>
            </w:pPr>
            <w:r>
              <w:t>视察次数</w:t>
            </w:r>
          </w:p>
        </w:tc>
      </w:tr>
      <w:tr w14:paraId="10158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1E1FE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4D1EAB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38A2B1A">
            <w:pPr>
              <w:pStyle w:val="13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33C88639">
            <w:pPr>
              <w:pStyle w:val="13"/>
            </w:pPr>
            <w:r>
              <w:t>满意度</w:t>
            </w:r>
          </w:p>
        </w:tc>
        <w:tc>
          <w:tcPr>
            <w:tcW w:w="1276" w:type="dxa"/>
            <w:vAlign w:val="center"/>
          </w:tcPr>
          <w:p w14:paraId="52AD3D7A">
            <w:pPr>
              <w:pStyle w:val="13"/>
            </w:pPr>
            <w:r>
              <w:t>视察次数</w:t>
            </w:r>
          </w:p>
        </w:tc>
        <w:tc>
          <w:tcPr>
            <w:tcW w:w="1843" w:type="dxa"/>
            <w:vAlign w:val="center"/>
          </w:tcPr>
          <w:p w14:paraId="51219458">
            <w:pPr>
              <w:pStyle w:val="13"/>
            </w:pPr>
            <w:r>
              <w:t>视察次数</w:t>
            </w:r>
          </w:p>
        </w:tc>
      </w:tr>
    </w:tbl>
    <w:p w14:paraId="1D94BE4B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20A47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6D73C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4630A"/>
    <w:rsid w:val="784B7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2117</Words>
  <Characters>2242</Characters>
  <TotalTime>9</TotalTime>
  <ScaleCrop>false</ScaleCrop>
  <LinksUpToDate>false</LinksUpToDate>
  <CharactersWithSpaces>2293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Administrator</dc:creator>
  <cp:lastModifiedBy>Administrator</cp:lastModifiedBy>
  <dcterms:modified xsi:type="dcterms:W3CDTF">2025-03-31T07:48:03Z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C6613A975AC64B9CA4542A498502FE6C_13</vt:lpwstr>
  </property>
  <property fmtid="{D5CDD505-2E9C-101B-9397-08002B2CF9AE}" pid="4" name="KSOTemplateDocerSaveRecord">
    <vt:lpwstr>eyJoZGlkIjoiYzgyMDBmZDdhODViMTU3NjNhYjQyNDYzZTIzZWI4YWMifQ==</vt:lpwstr>
  </property>
</Properties>
</file>