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56B17"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eastAsia="zh-CN"/>
        </w:rPr>
        <w:t>单位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预算信息公开目录</w:t>
      </w:r>
    </w:p>
    <w:p w14:paraId="19DB8E00"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 w14:paraId="0ABF0168"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预算公开表</w:t>
      </w:r>
    </w:p>
    <w:p w14:paraId="6222FB20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预算收支总表</w:t>
      </w:r>
      <w:bookmarkStart w:id="0" w:name="_GoBack"/>
      <w:bookmarkEnd w:id="0"/>
    </w:p>
    <w:p w14:paraId="13175F6A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预算收入总表</w:t>
      </w:r>
    </w:p>
    <w:p w14:paraId="655FC09C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预算支出总表</w:t>
      </w:r>
    </w:p>
    <w:p w14:paraId="2B13791B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预算财政拨款收支总表</w:t>
      </w:r>
    </w:p>
    <w:p w14:paraId="789FB632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预算一般公共预算财政拨款支出表</w:t>
      </w:r>
    </w:p>
    <w:p w14:paraId="44141B27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预算一般公共预算财政拨款基本支出表</w:t>
      </w:r>
    </w:p>
    <w:p w14:paraId="20D69DD2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预算政府性基金预算财政拨款支出表</w:t>
      </w:r>
    </w:p>
    <w:p w14:paraId="1F46C18F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预算国有资本经营预算财政拨款支出表</w:t>
      </w:r>
    </w:p>
    <w:p w14:paraId="62E95125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预算财政拨款“三公”经费支出表</w:t>
      </w:r>
    </w:p>
    <w:p w14:paraId="73940F43"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预算信息公开情况说明</w:t>
      </w:r>
    </w:p>
    <w:p w14:paraId="0D9DC5C7"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职责及机构设置情况</w:t>
      </w:r>
    </w:p>
    <w:p w14:paraId="70B63AD8"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预算安排的总体情况</w:t>
      </w:r>
    </w:p>
    <w:p w14:paraId="43074DB5"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 w14:paraId="360B575E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 w14:paraId="6CD1CE82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 w14:paraId="64C3570C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 w14:paraId="5D8A54EC"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 w14:paraId="737C075E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 w14:paraId="457FA417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宋体-方正超大字符集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lMDEwMTdiOTc3ZTc3ZDhhMTM0OTFjNGQ0YTRjYzI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100D5A5A"/>
    <w:rsid w:val="59F429B0"/>
    <w:rsid w:val="6778200E"/>
    <w:rsid w:val="72E806EA"/>
    <w:rsid w:val="75E5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266</Characters>
  <Lines>2</Lines>
  <Paragraphs>1</Paragraphs>
  <TotalTime>21</TotalTime>
  <ScaleCrop>false</ScaleCrop>
  <LinksUpToDate>false</LinksUpToDate>
  <CharactersWithSpaces>270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莲蓬</cp:lastModifiedBy>
  <dcterms:modified xsi:type="dcterms:W3CDTF">2025-04-07T07:21:39Z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9066FCC821A24F9BA054E7051514F3B5_12</vt:lpwstr>
  </property>
  <property fmtid="{D5CDD505-2E9C-101B-9397-08002B2CF9AE}" pid="4" name="KSOTemplateDocerSaveRecord">
    <vt:lpwstr>eyJoZGlkIjoiNDJlMDEwMTdiOTc3ZTc3ZDhhMTM0OTFjNGQ0YTRjYzIiLCJ1c2VySWQiOiI0NjU0MTA5NzAifQ==</vt:lpwstr>
  </property>
</Properties>
</file>