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中共怀来县委网络安全和信息化委员会办公室</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中共怀来县委网络安全和信息化委员会办公室编制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1</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t xml:space="preserve">1.怀财字【2025】7号 网信重点工作保障经费绩效目标表</w:t>
        </w:r>
        <w:r>
          <w:tab/>
        </w:r>
        <w:r>
          <w:fldChar w:fldCharType="begin"/>
        </w:r>
        <w:r>
          <w:instrText xml:space="preserve">PAGEREF _Toc_4_4_0000000004 \h</w:instrText>
        </w:r>
        <w:r>
          <w:fldChar w:fldCharType="separate"/>
        </w:r>
        <w:r>
          <w:t xml:space="preserve">5</w:t>
        </w:r>
        <w:r>
          <w:fldChar w:fldCharType="end"/>
        </w:r>
      </w:hyperlink>
    </w:p>
    <w:p>
      <w:pPr/>
      <w:r>
        <w:fldChar w:fldCharType="end"/>
      </w:r>
    </w:p>
    <w:p>
      <w:pPr>
        <w:sectPr>
          <w:footerReference w:type="even" r:id="rId1"/>
          <w:footerReference w:type="default" r:id="rId2"/>
          <w:type w:val="nextPage"/>
          <w:pgSz w:w="11900" w:h="16840" w:orient="portrait"/>
          <w:pgMar w:top="1984" w:right="1304" w:bottom="1134" w:left="1304" w:header="720" w:footer="720" w:gutter="0"/>
          <w:pgBorders/>
          <w:pgNumType w:start="1"/>
        </w:sectPr>
      </w:pPr>
      <w:r>
        <w:br w:type="page"/>
      </w:r>
      <w:r>
        <w:rPr/>
        <w:br/>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为了持续强化县委网信办在本年度内使用部门预算所有资金预期达到的总体产出和效果。依据县委网信办职责（或“三定方案”）、县委县政府工作部署、部门战略发展规划和年度工作计划与工作要点等，结合县委网信办预计本年度内所要达到的总产出和效果，确定将以下列为部门总体绩效目标：全年预算总资金将用于加强统筹协调全县网络安全保障，网上信息监管，网络舆情监控等相关工作。指导县内机构开展金融信息服务业务，为协调推进全县信息网络行业自主创新和发展做出贡献。组织推动落实网络安全和信息化干部人才队伍发展计划，提升利用好网络新媒体平台能力，持续加强网络宣传阵地建设。同时做好县委网络安全和信息化委员会办公室日常事务工作。</w:t>
      </w: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1.加强违法和不良信息举报工作。</w:t>
      </w:r>
    </w:p>
    <w:p>
      <w:pPr>
        <w:pStyle w:val="插入文本样式-插入职责分类绩效目标文件"/>
      </w:pPr>
      <w:r>
        <w:t xml:space="preserve">绩效目标：畅通违法和不良信息举报途径，加强对涉政有害信息专项上报及互联网违法和不良信息举报力度。</w:t>
      </w:r>
    </w:p>
    <w:p>
      <w:pPr>
        <w:pStyle w:val="插入文本样式-插入职责分类绩效目标文件"/>
      </w:pPr>
      <w:r>
        <w:t xml:space="preserve">绩效指标：在网信账号开设网络举报专栏，违法、有害和不良信息举报上报条数保持每年1万余条次。</w:t>
      </w:r>
    </w:p>
    <w:p>
      <w:pPr>
        <w:pStyle w:val="插入文本样式-插入职责分类绩效目标文件"/>
      </w:pPr>
      <w:r>
        <w:t xml:space="preserve">2.规范政务新媒体运维管理。</w:t>
      </w:r>
    </w:p>
    <w:p>
      <w:pPr>
        <w:pStyle w:val="插入文本样式-插入职责分类绩效目标文件"/>
      </w:pPr>
      <w:r>
        <w:t xml:space="preserve">绩效目标：规范开设运营政务新媒体，打造党委政府发布权威信息、引导网络舆论、服务人民群众的互联网工作阵地。</w:t>
      </w:r>
    </w:p>
    <w:p>
      <w:pPr>
        <w:pStyle w:val="插入文本样式-插入职责分类绩效目标文件"/>
      </w:pPr>
      <w:r>
        <w:t xml:space="preserve">绩效指标：全县政务新媒体检查覆盖率接近98%以上，及时清理注销关闭不规范政务新媒体和网站。</w:t>
      </w:r>
    </w:p>
    <w:p>
      <w:pPr>
        <w:pStyle w:val="插入文本样式-插入职责分类绩效目标文件"/>
      </w:pPr>
      <w:r>
        <w:t xml:space="preserve">3.扎实做好网络舆情服务保障。</w:t>
      </w:r>
    </w:p>
    <w:p>
      <w:pPr>
        <w:pStyle w:val="插入文本样式-插入职责分类绩效目标文件"/>
      </w:pPr>
      <w:r>
        <w:t xml:space="preserve">绩效目标：围绕全县中心工作，聚焦重大主题和关键节点，加强营商环境、社会民生、生态环境、平安建设等方面网上信息巡查监测，组织相关职能部门和涉事部门积极做好网络舆情服务保障工作。</w:t>
      </w:r>
    </w:p>
    <w:p>
      <w:pPr>
        <w:pStyle w:val="插入文本样式-插入职责分类绩效目标文件"/>
      </w:pPr>
      <w:r>
        <w:t xml:space="preserve">绩效指标：加强涉怀网络舆情的巡察工作，确保涉怀网络舆情及时发现，及时预警，全年舆情预警率达到100%。</w:t>
      </w:r>
    </w:p>
    <w:p>
      <w:pPr>
        <w:pStyle w:val="插入文本样式-插入职责分类绩效目标文件"/>
      </w:pPr>
      <w:r>
        <w:t xml:space="preserve">4.举办国家网络安全宣传周活动。</w:t>
      </w:r>
    </w:p>
    <w:p>
      <w:pPr>
        <w:pStyle w:val="插入文本样式-插入职责分类绩效目标文件"/>
      </w:pPr>
      <w:r>
        <w:t xml:space="preserve">绩效目标：推动网络安全知识普及，提升全社会网络安全意识和防护技能，加强数据安全和个人信息保护等新技术新应用安全方面的宣传普及。</w:t>
      </w:r>
    </w:p>
    <w:p>
      <w:pPr>
        <w:pStyle w:val="插入文本样式-插入职责分类绩效目标文件"/>
      </w:pPr>
      <w:r>
        <w:t xml:space="preserve">绩效指标：联合县委宣传部、县公安局、县教体科局等9家单位举办1次国家网络安全宣传周专项活动。</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绩效目标管理是一项系统性很强的工作，需要在实践的基础上不断改进和完善，在制度建立上更加规范，在实施范围上更加广泛，在编制时间上与部门预算同步进行，在质量控制上应科学测算和反复论证。</w:t>
      </w:r>
    </w:p>
    <w:p>
      <w:pPr>
        <w:pStyle w:val="插入文本样式-插入实现年度发展规划目标的保障措施文件"/>
      </w:pPr>
      <w:r>
        <w:t xml:space="preserve">完善制度建设。进一步制定完善预算绩效管理制度、资金管理办法、工作保障制度等，为全年预算绩效目标的实现奠定制度基础。</w:t>
      </w:r>
    </w:p>
    <w:p>
      <w:pPr>
        <w:pStyle w:val="插入文本样式-插入实现年度发展规划目标的保障措施文件"/>
      </w:pPr>
      <w:r>
        <w:t xml:space="preserve">加强支出管理。通过优化支出结构、编细编实预算、加快履行政府采购手续、尽快启动项目、及时支付资金、6月底前细化代编预算、按规定及时下达资金等多种措施，确保支出进度达标。</w:t>
      </w:r>
    </w:p>
    <w:p>
      <w:pPr>
        <w:pStyle w:val="插入文本样式-插入实现年度发展规划目标的保障措施文件"/>
      </w:pPr>
      <w:r>
        <w:t xml:space="preserve">加强绩效运行监控。按要求开展绩效运行监控，发现问题及时采取措施，确保绩效目标如期保质实现。做好绩效自评。按要求开展上年度部门预算绩效自评和重点评价工作，对评价中发现的问题及时整改，调整优化支出结构，提高财政资金使用效益。</w:t>
      </w:r>
    </w:p>
    <w:p>
      <w:pPr>
        <w:pStyle w:val="插入文本样式-插入实现年度发展规划目标的保障措施文件"/>
      </w:pPr>
      <w:r>
        <w:t xml:space="preserve">规范财务资金管理。完善财务管理制度，严格审批程序，加强固定资产登记、使用和报废处置管理，做到支出合理，物尽其用。</w:t>
      </w:r>
    </w:p>
    <w:p>
      <w:pPr>
        <w:pStyle w:val="插入文本样式-插入实现年度发展规划目标的保障措施文件"/>
      </w:pPr>
      <w:r>
        <w:t xml:space="preserve">加强内部监督。加强内部监督制度建设，对绩效运行情况、重大支出决策、对外投资、资产处置及其他重要经济业务事项的决策和执行进行督导，对会计资金资料进行内部审计，并配合好审计、财政监督等外部监督工作，确保财政资金安全有效。</w:t>
      </w:r>
    </w:p>
    <w:p>
      <w:pPr>
        <w:pStyle w:val="插入文本样式-插入实现年度发展规划目标的保障措施文件"/>
      </w:pPr>
      <w:r>
        <w:t xml:space="preserve">加强宣传培训调研等。加强人员培训，提高本部门职工业务素质；加强调研，提出优化财政资金配置、提高资金使用效益的意见；加大宣传力度，强化预算绩效管理意识，促进预算绩效管理水平进一步提升。</w:t>
      </w:r>
    </w:p>
    <w:p>
      <w:pPr>
        <w:spacing w:before="0" w:after="0" w:line="240"/>
        <w:ind w:firstLine="0"/>
        <w:jc w:val="center"/>
        <w:outlineLvl w:val="9"/>
        <w:sectPr>
          <w:type w:val="nextPage"/>
          <w:pgSz w:w="11900" w:h="16840" w:orient="portrait"/>
          <w:pgMar w:top="1984" w:right="1304" w:bottom="1134" w:left="1304" w:header="720" w:footer="720" w:gutter="0"/>
          <w:pgBorders/>
          <w:pgNumType w:start="1"/>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pgBorders/>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1.怀财字【2025】7号 网信重点工作保障经费绩效目标表</w:t>
      </w:r>
      <w:bookmarkEnd w:id="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224001中共怀来县委网络安全和信息化委员会办公室</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13073025P000823100015</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网信重点工作保障经费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支付第三方公司提供的网络舆情监测软件服务和涉政有害信息大数据监测服务</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1.保障部门行政运行正常</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重大舆情监测覆盖率</w:t>
            </w:r>
          </w:p>
        </w:tc>
        <w:tc>
          <w:tcPr>
            <w:tcW w:w="2891" w:type="dxa"/>
            <w:vAlign w:val="center"/>
          </w:tcPr>
          <w:p>
            <w:pPr>
              <w:pStyle w:val="单元格样式2"/>
            </w:pPr>
            <w:r>
              <w:t xml:space="preserve">重大舆情监测覆盖率</w:t>
            </w:r>
          </w:p>
        </w:tc>
        <w:tc>
          <w:tcPr>
            <w:tcW w:w="1276" w:type="dxa"/>
            <w:vAlign w:val="center"/>
          </w:tcPr>
          <w:p>
            <w:pPr>
              <w:pStyle w:val="单元格样式2"/>
            </w:pPr>
            <w:r>
              <w:t xml:space="preserve">≤100百分之</w:t>
            </w:r>
          </w:p>
        </w:tc>
        <w:tc>
          <w:tcPr>
            <w:tcW w:w="1843" w:type="dxa"/>
            <w:vAlign w:val="center"/>
          </w:tcPr>
          <w:p>
            <w:pPr>
              <w:pStyle w:val="单元格样式2"/>
            </w:pPr>
            <w:r>
              <w:t xml:space="preserve">工作职责</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机关运转率（%）</w:t>
            </w:r>
          </w:p>
        </w:tc>
        <w:tc>
          <w:tcPr>
            <w:tcW w:w="2891" w:type="dxa"/>
            <w:vAlign w:val="center"/>
          </w:tcPr>
          <w:p>
            <w:pPr>
              <w:pStyle w:val="单元格样式2"/>
            </w:pPr>
            <w:r>
              <w:t xml:space="preserve">机关运转率（%）</w:t>
            </w:r>
          </w:p>
        </w:tc>
        <w:tc>
          <w:tcPr>
            <w:tcW w:w="1276" w:type="dxa"/>
            <w:vAlign w:val="center"/>
          </w:tcPr>
          <w:p>
            <w:pPr>
              <w:pStyle w:val="单元格样式2"/>
            </w:pPr>
            <w:r>
              <w:t xml:space="preserve">≤100百分之</w:t>
            </w:r>
          </w:p>
        </w:tc>
        <w:tc>
          <w:tcPr>
            <w:tcW w:w="1843" w:type="dxa"/>
            <w:vAlign w:val="center"/>
          </w:tcPr>
          <w:p>
            <w:pPr>
              <w:pStyle w:val="单元格样式2"/>
            </w:pPr>
            <w:r>
              <w:t xml:space="preserve">项目经费利用率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及时性</w:t>
            </w:r>
          </w:p>
        </w:tc>
        <w:tc>
          <w:tcPr>
            <w:tcW w:w="2891" w:type="dxa"/>
            <w:vAlign w:val="center"/>
          </w:tcPr>
          <w:p>
            <w:pPr>
              <w:pStyle w:val="单元格样式2"/>
            </w:pPr>
            <w:r>
              <w:t xml:space="preserve">及时性</w:t>
            </w:r>
          </w:p>
        </w:tc>
        <w:tc>
          <w:tcPr>
            <w:tcW w:w="1276" w:type="dxa"/>
            <w:vAlign w:val="center"/>
          </w:tcPr>
          <w:p>
            <w:pPr>
              <w:pStyle w:val="单元格样式2"/>
            </w:pPr>
            <w:r>
              <w:t xml:space="preserve">≤100百分之</w:t>
            </w:r>
          </w:p>
        </w:tc>
        <w:tc>
          <w:tcPr>
            <w:tcW w:w="1843" w:type="dxa"/>
            <w:vAlign w:val="center"/>
          </w:tcPr>
          <w:p>
            <w:pPr>
              <w:pStyle w:val="单元格样式2"/>
            </w:pPr>
            <w:r>
              <w:t xml:space="preserve">项目资金下达后结算时效</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预算执行率</w:t>
            </w:r>
          </w:p>
        </w:tc>
        <w:tc>
          <w:tcPr>
            <w:tcW w:w="2891" w:type="dxa"/>
            <w:vAlign w:val="center"/>
          </w:tcPr>
          <w:p>
            <w:pPr>
              <w:pStyle w:val="单元格样式2"/>
            </w:pPr>
            <w:r>
              <w:t xml:space="preserve">预算执行率</w:t>
            </w:r>
          </w:p>
        </w:tc>
        <w:tc>
          <w:tcPr>
            <w:tcW w:w="1276" w:type="dxa"/>
            <w:vAlign w:val="center"/>
          </w:tcPr>
          <w:p>
            <w:pPr>
              <w:pStyle w:val="单元格样式2"/>
            </w:pPr>
            <w:r>
              <w:t xml:space="preserve">≤100百分之</w:t>
            </w:r>
          </w:p>
        </w:tc>
        <w:tc>
          <w:tcPr>
            <w:tcW w:w="1843" w:type="dxa"/>
            <w:vAlign w:val="center"/>
          </w:tcPr>
          <w:p>
            <w:pPr>
              <w:pStyle w:val="单元格样式2"/>
            </w:pPr>
            <w:r>
              <w:t xml:space="preserve">项目资金收支比</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业务保障能力提升情况</w:t>
            </w:r>
          </w:p>
        </w:tc>
        <w:tc>
          <w:tcPr>
            <w:tcW w:w="2891" w:type="dxa"/>
            <w:vAlign w:val="center"/>
          </w:tcPr>
          <w:p>
            <w:pPr>
              <w:pStyle w:val="单元格样式2"/>
            </w:pPr>
            <w:r>
              <w:t xml:space="preserve">业务保障能力提升情况</w:t>
            </w:r>
          </w:p>
        </w:tc>
        <w:tc>
          <w:tcPr>
            <w:tcW w:w="1276" w:type="dxa"/>
            <w:vAlign w:val="center"/>
          </w:tcPr>
          <w:p>
            <w:pPr>
              <w:pStyle w:val="单元格样式2"/>
            </w:pPr>
            <w:r>
              <w:t xml:space="preserve">能够有效提升网络舆情及不良信息监测能力</w:t>
            </w:r>
          </w:p>
        </w:tc>
        <w:tc>
          <w:tcPr>
            <w:tcW w:w="1843" w:type="dxa"/>
            <w:vAlign w:val="center"/>
          </w:tcPr>
          <w:p>
            <w:pPr>
              <w:pStyle w:val="单元格样式2"/>
            </w:pPr>
            <w:r>
              <w:t xml:space="preserve">工作职责</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使用部门满意度</w:t>
            </w:r>
          </w:p>
        </w:tc>
        <w:tc>
          <w:tcPr>
            <w:tcW w:w="2891" w:type="dxa"/>
            <w:vAlign w:val="center"/>
          </w:tcPr>
          <w:p>
            <w:pPr>
              <w:pStyle w:val="单元格样式2"/>
            </w:pPr>
            <w:r>
              <w:t xml:space="preserve">使用部门满意度</w:t>
            </w:r>
          </w:p>
        </w:tc>
        <w:tc>
          <w:tcPr>
            <w:tcW w:w="1276" w:type="dxa"/>
            <w:vAlign w:val="center"/>
          </w:tcPr>
          <w:p>
            <w:pPr>
              <w:pStyle w:val="单元格样式2"/>
            </w:pPr>
            <w:r>
              <w:t xml:space="preserve">提高工作效率　</w:t>
            </w:r>
          </w:p>
        </w:tc>
        <w:tc>
          <w:tcPr>
            <w:tcW w:w="1843" w:type="dxa"/>
            <w:vAlign w:val="center"/>
          </w:tcPr>
          <w:p>
            <w:pPr>
              <w:pStyle w:val="单元格样式2"/>
            </w:pPr>
            <w:r>
              <w:t xml:space="preserve">工作职责</w:t>
            </w:r>
          </w:p>
        </w:tc>
      </w:tr>
    </w:tbl>
    <w:p>
      <w:pPr/>
    </w:p>
    <w:sectPr>
      <w:type w:val="nextPage"/>
      <w:pgSz w:w="11900" w:h="16840" w:orient="portrait"/>
      <w:pgMar w:top="1984" w:right="1304" w:bottom="1134" w:left="1304"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4</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9</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2025-03-13T10:09:30Z</dcterms:created>
  <dcterms:modified xsi:type="dcterms:W3CDTF">2025-03-13T10:09:30Z</dcterms:modified>
</cp:coreProperties>
</file>