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怀来县人民检察院部门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怀来县人民检察院部门编制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3"/>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3"/>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3"/>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3"/>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办公楼维修资金绩效目标表</w:t>
      </w:r>
      <w:r>
        <w:tab/>
      </w:r>
      <w:r>
        <w:fldChar w:fldCharType="begin"/>
      </w:r>
      <w:r>
        <w:instrText xml:space="preserve">PAGEREF _Toc_4_4_0000000004 \h</w:instrText>
      </w:r>
      <w:r>
        <w:fldChar w:fldCharType="separate"/>
      </w:r>
      <w:r>
        <w:t>10</w:t>
      </w:r>
      <w:r>
        <w:fldChar w:fldCharType="end"/>
      </w:r>
      <w:r>
        <w:fldChar w:fldCharType="end"/>
      </w:r>
    </w:p>
    <w:p>
      <w:pPr>
        <w:pStyle w:val="13"/>
        <w:tabs>
          <w:tab w:val="right" w:leader="dot" w:pos="9282"/>
        </w:tabs>
      </w:pPr>
      <w:r>
        <w:fldChar w:fldCharType="begin"/>
      </w:r>
      <w:r>
        <w:instrText xml:space="preserve"> HYPERLINK \l "_Toc_4_4_0000000005" </w:instrText>
      </w:r>
      <w:r>
        <w:fldChar w:fldCharType="separate"/>
      </w:r>
      <w:r>
        <w:t>2.怀财字【2022】7号 公车购置绩效目标表</w:t>
      </w:r>
      <w:r>
        <w:tab/>
      </w:r>
      <w:r>
        <w:fldChar w:fldCharType="begin"/>
      </w:r>
      <w:r>
        <w:instrText xml:space="preserve">PAGEREF _Toc_4_4_0000000005 \h</w:instrText>
      </w:r>
      <w:r>
        <w:fldChar w:fldCharType="separate"/>
      </w:r>
      <w:r>
        <w:t>11</w:t>
      </w:r>
      <w:r>
        <w:fldChar w:fldCharType="end"/>
      </w:r>
      <w:r>
        <w:fldChar w:fldCharType="end"/>
      </w:r>
    </w:p>
    <w:p>
      <w:pPr>
        <w:pStyle w:val="13"/>
        <w:tabs>
          <w:tab w:val="right" w:leader="dot" w:pos="9282"/>
        </w:tabs>
      </w:pPr>
      <w:r>
        <w:fldChar w:fldCharType="begin"/>
      </w:r>
      <w:r>
        <w:instrText xml:space="preserve"> HYPERLINK \l "_Toc_4_4_0000000006" </w:instrText>
      </w:r>
      <w:r>
        <w:fldChar w:fldCharType="separate"/>
      </w:r>
      <w:r>
        <w:t>3.怀财字【2022】7号 检察文化建设资金绩效目标表</w:t>
      </w:r>
      <w:r>
        <w:tab/>
      </w:r>
      <w:r>
        <w:fldChar w:fldCharType="begin"/>
      </w:r>
      <w:r>
        <w:instrText xml:space="preserve">PAGEREF _Toc_4_4_0000000006 \h</w:instrText>
      </w:r>
      <w:r>
        <w:fldChar w:fldCharType="separate"/>
      </w:r>
      <w:r>
        <w:t>12</w:t>
      </w:r>
      <w:r>
        <w:fldChar w:fldCharType="end"/>
      </w:r>
      <w:r>
        <w:fldChar w:fldCharType="end"/>
      </w:r>
    </w:p>
    <w:p>
      <w:pPr>
        <w:pStyle w:val="13"/>
        <w:tabs>
          <w:tab w:val="right" w:leader="dot" w:pos="9282"/>
        </w:tabs>
      </w:pPr>
      <w:r>
        <w:fldChar w:fldCharType="begin"/>
      </w:r>
      <w:r>
        <w:instrText xml:space="preserve"> HYPERLINK \l "_Toc_4_4_0000000007" </w:instrText>
      </w:r>
      <w:r>
        <w:fldChar w:fldCharType="separate"/>
      </w:r>
      <w:r>
        <w:t>4.怀财字【2022】7号 智慧检务绩效目标表</w:t>
      </w:r>
      <w:r>
        <w:tab/>
      </w:r>
      <w:r>
        <w:fldChar w:fldCharType="begin"/>
      </w:r>
      <w:r>
        <w:instrText xml:space="preserve">PAGEREF _Toc_4_4_0000000007 \h</w:instrText>
      </w:r>
      <w:r>
        <w:fldChar w:fldCharType="separate"/>
      </w:r>
      <w:r>
        <w:t>13</w:t>
      </w:r>
      <w:r>
        <w:fldChar w:fldCharType="end"/>
      </w:r>
      <w:r>
        <w:fldChar w:fldCharType="end"/>
      </w:r>
    </w:p>
    <w:p>
      <w:pPr>
        <w:pStyle w:val="13"/>
        <w:tabs>
          <w:tab w:val="right" w:leader="dot" w:pos="9282"/>
        </w:tabs>
      </w:pPr>
      <w:r>
        <w:fldChar w:fldCharType="begin"/>
      </w:r>
      <w:r>
        <w:instrText xml:space="preserve"> HYPERLINK \l "_Toc_4_4_0000000008" </w:instrText>
      </w:r>
      <w:r>
        <w:fldChar w:fldCharType="separate"/>
      </w:r>
      <w:r>
        <w:t>5.怀财字【2022】7号 专项公用经费绩效目标表</w:t>
      </w:r>
      <w:r>
        <w:tab/>
      </w:r>
      <w:r>
        <w:fldChar w:fldCharType="begin"/>
      </w:r>
      <w:r>
        <w:instrText xml:space="preserve">PAGEREF _Toc_4_4_0000000008 \h</w:instrText>
      </w:r>
      <w:r>
        <w:fldChar w:fldCharType="separate"/>
      </w:r>
      <w:r>
        <w:t>14</w:t>
      </w:r>
      <w:r>
        <w:fldChar w:fldCharType="end"/>
      </w:r>
      <w:r>
        <w:fldChar w:fldCharType="end"/>
      </w:r>
    </w:p>
    <w:p>
      <w:pPr>
        <w:pStyle w:val="13"/>
        <w:tabs>
          <w:tab w:val="right" w:leader="dot" w:pos="9282"/>
        </w:tabs>
      </w:pPr>
      <w:r>
        <w:fldChar w:fldCharType="begin"/>
      </w:r>
      <w:r>
        <w:instrText xml:space="preserve"> HYPERLINK \l "_Toc_4_4_0000000009" </w:instrText>
      </w:r>
      <w:r>
        <w:fldChar w:fldCharType="separate"/>
      </w:r>
      <w:r>
        <w:t>6.冀财政法【2021】62号河北省财政厅关于提前下达2022年中央政法纪检监察转移支付资金的通知绩效目标表</w:t>
      </w:r>
      <w:r>
        <w:tab/>
      </w:r>
      <w:r>
        <w:fldChar w:fldCharType="begin"/>
      </w:r>
      <w:r>
        <w:instrText xml:space="preserve">PAGEREF _Toc_4_4_0000000009 \h</w:instrText>
      </w:r>
      <w:r>
        <w:fldChar w:fldCharType="separate"/>
      </w:r>
      <w:r>
        <w:t>15</w:t>
      </w:r>
      <w:r>
        <w:fldChar w:fldCharType="end"/>
      </w:r>
      <w:r>
        <w:fldChar w:fldCharType="end"/>
      </w:r>
    </w:p>
    <w:p>
      <w:pPr>
        <w:pStyle w:val="13"/>
        <w:tabs>
          <w:tab w:val="right" w:leader="dot" w:pos="9282"/>
        </w:tabs>
      </w:pPr>
      <w:r>
        <w:fldChar w:fldCharType="begin"/>
      </w:r>
      <w:r>
        <w:instrText xml:space="preserve"> HYPERLINK \l "_Toc_4_4_0000000010" </w:instrText>
      </w:r>
      <w:r>
        <w:fldChar w:fldCharType="separate"/>
      </w:r>
      <w:r>
        <w:t>7.冀财政法【2021】63号河北省财政厅关于提前下达2022年省级基层公检法司转移支付资金的通知绩效目标表</w:t>
      </w:r>
      <w:r>
        <w:tab/>
      </w:r>
      <w:r>
        <w:fldChar w:fldCharType="begin"/>
      </w:r>
      <w:r>
        <w:instrText xml:space="preserve">PAGEREF _Toc_4_4_0000000010 \h</w:instrText>
      </w:r>
      <w:r>
        <w:fldChar w:fldCharType="separate"/>
      </w:r>
      <w:r>
        <w:t>16</w:t>
      </w:r>
      <w:r>
        <w:fldChar w:fldCharType="end"/>
      </w:r>
      <w:r>
        <w:fldChar w:fldCharType="end"/>
      </w:r>
    </w:p>
    <w:p>
      <w:r>
        <w:fldChar w:fldCharType="end"/>
      </w:r>
    </w:p>
    <w:p>
      <w:pPr>
        <w:rPr>
          <w:rFonts w:hint="eastAsia" w:eastAsia="宋体"/>
          <w:lang w:eastAsia="zh-CN"/>
        </w:rPr>
      </w:pPr>
      <w:r>
        <w:br w:type="page"/>
      </w:r>
    </w:p>
    <w:p>
      <w:pPr>
        <w:rPr>
          <w:rFonts w:hint="eastAsia" w:eastAsia="宋体"/>
          <w:lang w:eastAsia="zh-CN"/>
        </w:rPr>
        <w:sectPr>
          <w:footerReference r:id="rId4" w:type="default"/>
          <w:footerReference r:id="rId5"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3"/>
      </w:pPr>
      <w:r>
        <w:t>1、立足打击保稳定。力争全年批捕案件准确率和公诉案件有罪判决率均保持100%。严厉打击抢劫、强奸、放火等严重暴力犯罪以及盗窃、抢夺等多发性侵财犯罪，保护群众人身财产安全。打击非法吸收公众存款、合同诈骗、信用卡诈骗等经济犯罪，维护市场经济秩序。打击运输、贩卖、非法持有毒品等涉毒犯罪，遏制涉毒犯罪的多发态势。办理危害食品、药品安全的刑事案件，回应对社会和群众的关切。</w:t>
      </w:r>
    </w:p>
    <w:p>
      <w:pPr>
        <w:pStyle w:val="3"/>
      </w:pPr>
    </w:p>
    <w:p>
      <w:pPr>
        <w:pStyle w:val="3"/>
      </w:pPr>
      <w:r>
        <w:t>2、宽严相济促和谐。对犯罪嫌疑人确实认罪悔过的轻微刑事案件，建议法院采用简易程序审理。对初犯、偶犯、过失犯罪和有自首、立功情节的刑事被告人，建议法院从轻、减轻处罚。对因邻里纠纷、亲属争执等引发的刑事案件，促成双方当事人就附带民事部分达成赔偿协议，实现案结事了。推行未成年人犯罪案件“捕、诉、监、防”一体化办案机制， 对未成年人犯罪案件实行诉前调查、案后帮教，落实感化教育挽救方针。</w:t>
      </w:r>
    </w:p>
    <w:p>
      <w:pPr>
        <w:pStyle w:val="3"/>
      </w:pPr>
    </w:p>
    <w:p>
      <w:pPr>
        <w:pStyle w:val="3"/>
      </w:pPr>
      <w:r>
        <w:t>3、规范办案公正。扎实开展规范执法行为专项整治，切实做到严格规范文明执法。坚持每案提讯犯罪嫌疑人，严格遵循法定程序落实权利告知等义务，切实加强人权保障。依法保障律师查阅案卷、会见当事人、提出意见等诉讼权利，注重发挥律师维护权益、保障公正的作用。严格执行非法证据排除规则，依法排除瑕疵证据，严把案件事实关、证据关。</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4"/>
      </w:pPr>
      <w:r>
        <w:t>根据本部门职责和工作实际开展情况，制定相应的绩效目标指标考核标准，确保2022年工作圆满完成。</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5"/>
      </w:pPr>
      <w:r>
        <w:t xml:space="preserve">(一)坚持以坚定理想信念为核心，大力加强思想政治建设 </w:t>
      </w:r>
    </w:p>
    <w:p>
      <w:pPr>
        <w:pStyle w:val="5"/>
      </w:pPr>
      <w:r>
        <w:t>1.强化科学理论武装。健全落实集中学习与个人自学相结合的制度，深入学习贯彻习近平总书记</w:t>
      </w:r>
      <w:bookmarkStart w:id="10" w:name="_GoBack"/>
      <w:bookmarkEnd w:id="10"/>
      <w:r>
        <w:t xml:space="preserve">系列重要讲话精神，牢固树立为实现中国梦而奋斗的远大理想，坚定走中国特色社会主义道路的信念。建立思想动态定期分析制度，健全意识形态工作长效机制，加强经常性思想政治工作，坚持运用马克思主义立场观点方法分析问题、指导实践，增强政治定力，增进“三个自信”。组织开展理论素养提升年系列活动，促进基层检察人员对中国特色社会主义理论体系的真学真信真用。 </w:t>
      </w:r>
    </w:p>
    <w:p>
      <w:pPr>
        <w:pStyle w:val="5"/>
      </w:pPr>
      <w:r>
        <w:t xml:space="preserve">2.践行党的群众路线。扎实开展以为民务实清廉为主要内容的党的群众路线教育实践活动，着力解决群众反映强烈的“四风”突出问题。建立经常性征求群众意见制度，健全人民群众评判检察工作机制。广泛开展进社区、进农村、进学校、进机关、进企业活动，组织检察人员走基层接地气，察民情访民意解民忧，增强做好新形势下群众工作的能力。推进综合服务平台、民生服务窗口建设，完善联合接访、下访巡访等制度，畅通和规范群众诉求表达、利益协调、权益保障渠道。 </w:t>
      </w:r>
    </w:p>
    <w:p>
      <w:pPr>
        <w:pStyle w:val="5"/>
      </w:pPr>
      <w:r>
        <w:t xml:space="preserve">3.服务党的中心工作。坚持胸怀大局、把握大势、着眼大事，找准围绕中心服务大局的切入点、着力点，善于运用法治思维和法律手段为经济社会发展提供有力司法保障。主动适应全面深化改革新要求，健全围绕中心服务大局工作体系，及时调整和深化服务工作措施，采取派驻检察室、建立联系点等有效形式，打造共建协作平台，延伸法律监督触角，坚持把围绕中心服务大局的实际成效作为检验基层检察工作成果的重要标尺。 </w:t>
      </w:r>
    </w:p>
    <w:p>
      <w:pPr>
        <w:pStyle w:val="5"/>
      </w:pPr>
      <w:r>
        <w:t xml:space="preserve">4.加强基层党组织建设。完善业务部门和办案组基层党组织设置，实现检察机关基层党组织和党的工作全覆盖。着眼发挥战斗堡垒和先锋模范作用，推动基层党组织和党员干部履职尽责创先进、立足岗位争优秀。清醒认识“四大风险”、“四大考验”，坚持中心组学习、民主评议党员、“三会一课”等制度，建立学习遵守贯彻维护党章长效机制，严格党内组织生活，教育广大党员加强党性修养，坚持党性原则，自觉抵制西方错误政治观点、法学观点。 </w:t>
      </w:r>
    </w:p>
    <w:p>
      <w:pPr>
        <w:pStyle w:val="5"/>
      </w:pPr>
    </w:p>
    <w:p>
      <w:pPr>
        <w:pStyle w:val="5"/>
      </w:pPr>
      <w:r>
        <w:t xml:space="preserve">(二)坚持以深化规范执法为主线，全面加强检察业务建设 </w:t>
      </w:r>
    </w:p>
    <w:p>
      <w:pPr>
        <w:pStyle w:val="5"/>
      </w:pPr>
      <w:r>
        <w:t xml:space="preserve">1.强化正确执法理念教育。坚持严格公正规范文明执法，把“六观”、“六个有机统一”、“四个必须”、“六个并重”等作为基层检察人员日常学习重点内容和教育培训必修课程，树立理性平和文明规范的执法理念，始终用正确的执法理念指引和规范基层执法办案活动。坚守防止冤假错案底线，努力让人民群众在每一个司法案件中都感受到公平正义。 </w:t>
      </w:r>
    </w:p>
    <w:p>
      <w:pPr>
        <w:pStyle w:val="5"/>
      </w:pPr>
      <w:r>
        <w:t xml:space="preserve">2.加大执法办案工作力度。坚持以执法办案为中心，因地制宜突出工作重点，敢于监督、善于监督、依法监督、规范监督，自觉融入社会治理体制创新，不断完善人权司法保障机制，全面履行打击刑事犯罪、查办和预防职务犯罪、诉讼监督等职责，确保国家法律的统一正确实施。完善落实检察长、副检察长带头办案制度，对有影响的大案要案，检察长、副检察长应当亲自指挥侦查、讯问和出庭支持公诉。 </w:t>
      </w:r>
    </w:p>
    <w:p>
      <w:pPr>
        <w:pStyle w:val="5"/>
      </w:pPr>
      <w:r>
        <w:t xml:space="preserve">3.加强检察业务集中管理。全面推进案件管理机制改革，健全检察业务管理制度，完善案件集中管理模式，细化执法办案流程，明确执法办案标准，严格执法办案监管，实现对执法办案全过程的集约化、动态化管理，从源头上解决随意执法、粗放执法问题。组织开展规范执法强化年系列活动，推动检察机关执法工作基本规范全面贯彻落实。 </w:t>
      </w:r>
    </w:p>
    <w:p>
      <w:pPr>
        <w:pStyle w:val="5"/>
      </w:pPr>
      <w:r>
        <w:t xml:space="preserve">4.健全检察业务考评机制。坚持结果考评与过程管理、定期考评与动态指导、综合考评与个案评查相结合，形成多手段全方位的执法办案考评体系。完善检察官办案责任制，加强执法办案监督制约。建立案件质量常态化评查机制，全面对照修改后的刑事诉讼法、民事诉讼法和其他法律法规，重点围绕办案时限、执法程序、证据采信、文书制作和涉案财物处理等，定期进行集中评查，促进执法规范化。 </w:t>
      </w:r>
    </w:p>
    <w:p>
      <w:pPr>
        <w:pStyle w:val="5"/>
      </w:pPr>
      <w:r>
        <w:t xml:space="preserve">5.深入推进检务公开工作。细化执法办案公开的内容、对象、时机、方式和要求，健全主动公开和依申请公开制度。除法律规定需要保密的以外，执法依据、执法程序、办案过程和检察机关终结性法律文书一律向社会公开。坚持和完善检察开放日、案件公开审查、人民监督员等制度，切实保障人民群众对法律监督工作的知情权、参与权和监督权。 </w:t>
      </w:r>
    </w:p>
    <w:p>
      <w:pPr>
        <w:pStyle w:val="5"/>
      </w:pPr>
    </w:p>
    <w:p>
      <w:pPr>
        <w:pStyle w:val="5"/>
      </w:pPr>
      <w:r>
        <w:t xml:space="preserve">(三)坚持以提高整体素质为关键，着力加强人才队伍建设 </w:t>
      </w:r>
    </w:p>
    <w:p>
      <w:pPr>
        <w:pStyle w:val="5"/>
      </w:pPr>
      <w:r>
        <w:t xml:space="preserve">1.建设强有力领导班子。认真落实领导干部政治轮训制度，积极参加新知识、新技能学习培训，不断完善知识结构、丰富知识储备。到2018年，基层检察院领导班子中法律专业本科以上学历人员占比达到三分之二以上。严格执行民主集中制各项规定，完善和落实党组会、检察委员会、检察长办公会议事规则和决策程序，不断提高科学民主依法决策水平，建设信念坚定、敢于担当、勤政务实、清正廉洁的坚强领导集体。 </w:t>
      </w:r>
    </w:p>
    <w:p>
      <w:pPr>
        <w:pStyle w:val="5"/>
      </w:pPr>
      <w:r>
        <w:t xml:space="preserve">2.打造专业化人才队伍。坚持以专业化建设为导向，以岗位素能标准为依据，分类开展任职资格、岗位技能、综合知识等专项培训，定期开展公诉论辩、侦讯模拟、疑案研讨等岗位练兵，搭建网络学习平台，树立终身学习观念，重点加强新进人员的岗前培训和职业伦理教育，全面提升专业素质能力。基层检察人员接受业务培训时间每年不少于12天。到2019年，基层检察院本科以上学历人员占比达到90%左右。 </w:t>
      </w:r>
    </w:p>
    <w:p>
      <w:pPr>
        <w:pStyle w:val="5"/>
      </w:pPr>
      <w:r>
        <w:t xml:space="preserve">3.建构职业化管理体系。落实职业化建设目标任务，实施检察人员分类管理制度改革。严格检察职业准入制度，统筹人员招录补充办法。健全基层优秀人才、少数民族干部跨地区、跨层级选派挂职、交流锻炼工作机制，拓宽基层检察人员职业发展渠道。完善检察职业保障属地措施，出台有利于稳定队伍的创新举措。完善办案组织模式，优化检察资源配置和内设机构的设置，切实解决基层专业人才缺乏、办案力量不足问题。努力把基层检察院空编率控制在2%以下。 </w:t>
      </w:r>
    </w:p>
    <w:p>
      <w:pPr>
        <w:pStyle w:val="5"/>
      </w:pPr>
      <w:r>
        <w:t xml:space="preserve">4.实施检察人才重点工程。全面落实检察人才队伍建设中长期规划，以高层次专门人才铸才、急需紧缺专门人才引才、素质提升优才、基层检察院聚才、西部和贫困地区检察院扶才、青年检察官育才等六大重点工程为抓手，带动检察人才队伍建设全面发展。西部和贫困地区基层检察院每年定向培养和引进专门人才1000名。组织开展人才建设重点工程落实年系列活动，推动人才队伍建设任务按时保质逐项落实。 </w:t>
      </w:r>
    </w:p>
    <w:p>
      <w:pPr>
        <w:pStyle w:val="5"/>
      </w:pPr>
    </w:p>
    <w:p>
      <w:pPr>
        <w:pStyle w:val="5"/>
      </w:pPr>
      <w:r>
        <w:t xml:space="preserve">(四)坚持以强化科技应用为重点，切实加强检务保障建设 </w:t>
      </w:r>
    </w:p>
    <w:p>
      <w:pPr>
        <w:pStyle w:val="5"/>
      </w:pPr>
      <w:r>
        <w:t xml:space="preserve">1.运行统一业务应用系统。组织开展统一业务应用系统全员培训，加强运行维护、安全保密等管理制度建设，为统一业务应用系统运行奠定坚实基础。落实“统一入轨、统一管理、统一应用、统一改进”要求，实现执法信息网上录入、执法业务网上审批、执法流程网上管理、执法活动网上监督，确保“全员、全面、全程、规范”应用。 </w:t>
      </w:r>
    </w:p>
    <w:p>
      <w:pPr>
        <w:pStyle w:val="5"/>
      </w:pPr>
      <w:r>
        <w:t xml:space="preserve">2.加强基层业务装备配备。坚持量力而行、尽力而为，认真落实基本业务装备配备指导标准。以提高侦查工作科技含量为重点，加强侦查指挥、证据收集、安全防范、检验鉴定等装备建设，完善执法办案科技手段和设施体系，加快执法办案科技装备更新升级。加强执法值勤用车配备，满足基层办案工作需要。 </w:t>
      </w:r>
    </w:p>
    <w:p>
      <w:pPr>
        <w:pStyle w:val="5"/>
      </w:pPr>
      <w:r>
        <w:t xml:space="preserve">3.落实科技建设重点任务。以统一业务应用系统为重点实施电子检务工程，建设网上举报、远程视频讯问、案卷材料传输及视频接访等系统，建成检察专线网、局域网等基础网络，实现基层检察工作数字化目标。完善检察技术融入执法办案工作机制，促进技术取证、技术鉴定、技术审查等检察技术手段有效利用。组织开展技术信息应用年系列活动，提升技术信息应用水平，建设一批科技强检示范院。 </w:t>
      </w:r>
    </w:p>
    <w:p>
      <w:pPr>
        <w:pStyle w:val="5"/>
      </w:pPr>
      <w:r>
        <w:t xml:space="preserve">4.推进基层基础设施建设。加强检察经费保障，落实“十二五”政法基础设施建设规划，进一步推进基层“两房”建设。严格执行基本建设程序和基建项目管理制度，认真落实基建项目内部核准制度，加强基本建设财务管理。积极化解“两房”建设债务，坚决防止产生新的债务问题。 </w:t>
      </w:r>
    </w:p>
    <w:p>
      <w:pPr>
        <w:pStyle w:val="5"/>
      </w:pPr>
    </w:p>
    <w:p>
      <w:pPr>
        <w:pStyle w:val="5"/>
      </w:pPr>
      <w:r>
        <w:t xml:space="preserve">(五)坚持以铸造职业精神为核心，深入加强检察文化建设 </w:t>
      </w:r>
    </w:p>
    <w:p>
      <w:pPr>
        <w:pStyle w:val="5"/>
      </w:pPr>
      <w:r>
        <w:t xml:space="preserve">1.提升检察文化建设层次。全面落实加强检察文化建设的决定，建立健全基层检察文化建设内容体系和框架结构，坚持把铸造检察职业精神作为检察文化建设中心任务，充分发挥检察文化的引领、渗透、融合、凝聚作用，不断提升检察人员的文化素养和精神境界。增强文化建设阵地意识，加强涉检网络舆情应对，唱响思想文化主旋律。组织开展富有检察特色的活动，推广文化建设先进经验，聚合基层检察文化建设正能量。 </w:t>
      </w:r>
    </w:p>
    <w:p>
      <w:pPr>
        <w:pStyle w:val="5"/>
      </w:pPr>
      <w:r>
        <w:t xml:space="preserve">2.深化检察职业道德培育。坚持以社会主义法治理念、社会主义核心价值体系为指引，创新文化建设载体，繁荣文艺作品创造，推动落实职业道德基本准则、职业行为基本规范。完善职业道德教育培训、监督制约、激励惩戒长效机制，改进职业道德教育方式方法，丰富职业道德实践养成路径，培育忠诚、公正、清廉、文明的良好职业风范。 </w:t>
      </w:r>
    </w:p>
    <w:p>
      <w:pPr>
        <w:pStyle w:val="5"/>
      </w:pPr>
      <w:r>
        <w:t xml:space="preserve">3.营造机关和谐人文环境。努力营造团结和谐、积极向上的人文环境。按照庄重规范、因地制宜要求，建设好陈列室、荣誉室等检史教育场所。注重思想引导、人文关怀和心理疏导，帮助解决检察人员工作、学习和生活实际困难，不断增强基层检察院的凝聚力和战斗力。 </w:t>
      </w:r>
    </w:p>
    <w:p>
      <w:pPr>
        <w:pStyle w:val="5"/>
      </w:pPr>
    </w:p>
    <w:p>
      <w:pPr>
        <w:pStyle w:val="5"/>
      </w:pPr>
      <w:r>
        <w:t xml:space="preserve">(六)坚持以塑造良好形象为主旨，持续加强纪律作风建设 </w:t>
      </w:r>
    </w:p>
    <w:p>
      <w:pPr>
        <w:pStyle w:val="5"/>
      </w:pPr>
      <w:r>
        <w:t xml:space="preserve">1.强化自身反腐倡廉建设。创新示范教育、警示教育形式，推进廉政教育经常化、规范化和制度化。深化检察机关惩治和预防腐败体系建设，坚持靠制度管人管事管权，切实把权力关进制度的笼子，形成不敢腐的惩戒机制、不能腐的防范机制、不易腐的保障机制，筑牢公正廉洁执法制度防线。始终保持“零容忍”态度，坚决查处检察人员违纪违法案件。 </w:t>
      </w:r>
    </w:p>
    <w:p>
      <w:pPr>
        <w:pStyle w:val="5"/>
      </w:pPr>
      <w:r>
        <w:t xml:space="preserve">2.严格执行各项纪律规定。严明党的政治纪律，自觉维护中央权威，坚决同党中央保持高度一致。严肃检察工作纪律，严格执行上级检察机关的决策部署和决定要求，坚决杜绝“上有政策、下有对策”，确保检令畅通。加强纪律执行监督检查，严格落实各项禁令规定，坚决查禁违反纪律行为，真正做到遵守纪律没有特权、执行纪律没有例外。 </w:t>
      </w:r>
    </w:p>
    <w:p>
      <w:pPr>
        <w:pStyle w:val="5"/>
      </w:pPr>
      <w:r>
        <w:t xml:space="preserve">3.切实转变机关作风。认真贯彻中央关于改进工作作风、密切联系群众八项规定和高检院实施办法，进一步转作风正学风改文风，力戒形式主义、官僚主义、享乐主义和奢靡之风。坚持执法为民，深入解决特权思想、霸道作风等突出问题，专项整治慵懒散奢、冷硬横推等执法和工作陋习。厉行勤俭节约，坚决防止和纠正讲排场比阔气、铺张浪费等现象。组织开展执法作风转变年系列活动，进一步树立检察机关良好形象。 </w:t>
      </w:r>
    </w:p>
    <w:p>
      <w:pPr>
        <w:pStyle w:val="5"/>
      </w:pPr>
    </w:p>
    <w:p>
      <w:pPr>
        <w:pStyle w:val="5"/>
      </w:pPr>
      <w:r>
        <w:t xml:space="preserve">（七）基层检察院建设的保障措施 </w:t>
      </w:r>
    </w:p>
    <w:p>
      <w:pPr>
        <w:pStyle w:val="5"/>
      </w:pPr>
      <w:r>
        <w:t xml:space="preserve">1.加强组织领导。健全落实高检院统筹、省级院主导、市级院主抓、基层院主责的上下联动工作格局，努力形成检察长牵头抓总、政工部门组织协调、其他部门分工负责的齐抓共管工作局面。高检院将加强检察改革顶层设计，推动出台相关体制、机制和制度难题解决方案。省、市两级院既要坚持宏观领导，又要抓好具体指导，着重在察实情出实招办实事上下功夫。尊重基层首创精神，着力加强基层院建设。 </w:t>
      </w:r>
    </w:p>
    <w:p>
      <w:pPr>
        <w:pStyle w:val="5"/>
      </w:pPr>
      <w:r>
        <w:t xml:space="preserve">2.完善工作机制。健全领导干部联系基层、业务部门对口指导、基层院结对共建制度。建立领导干部深入基层蹲点调研制度、制定政策文件征求基层意见办法。完善先进院动态管理、落后院攻坚帮扶、基层建设抽样评估、难点问题有效解决工作机制。改进考核表彰工作，减少检查评比活动，切实减轻基层检察院负担。高检院每年对3—5个省份的基层检察院进行抽样评估。 </w:t>
      </w:r>
    </w:p>
    <w:p>
      <w:pPr>
        <w:pStyle w:val="5"/>
      </w:pPr>
      <w:r>
        <w:t xml:space="preserve">3.坚持分类指导。加强基层检察院建设情况分类研究，增强上级检察机关指导基层建设的针对性和实效性。强化服务基层意识，加大对偏远落后地区人财物扶持力度，促进政策和资源要素向西部、基层倾斜。认真贯彻中央关于支援西藏、新疆总体工作部署，深入推进检察机关人才智力、检察业务、资金项目援藏援疆工作，推动基层检察院建设协调发展。 </w:t>
      </w:r>
    </w:p>
    <w:p>
      <w:pPr>
        <w:pStyle w:val="5"/>
      </w:pPr>
      <w:r>
        <w:t>4.强化督导落实。坚持把制度执行力作为评价干部和实绩考评的重要内容，定期对制度执行情况进行监督检查。完善基层检察院建设任务分解、督察落实等制度，健全基层检察院建设绩效管理规范，建立年度工作要点、重大决策落实情况通报制度，切实把基层检察院建设各项任务落到实处。认真实施基层检察院建设工作报告制度，省、市两级检察院每年底向上一级检察院专题报告基层检察院建设情况。</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办公楼维修资金绩效目标表</w:t>
      </w:r>
      <w:bookmarkEnd w:id="3"/>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8"/>
            </w:pPr>
            <w:r>
              <w:t>13073022P00820310001H</w:t>
            </w:r>
          </w:p>
        </w:tc>
        <w:tc>
          <w:tcPr>
            <w:tcW w:w="1587" w:type="dxa"/>
            <w:vAlign w:val="center"/>
          </w:tcPr>
          <w:p>
            <w:pPr>
              <w:pStyle w:val="9"/>
            </w:pPr>
            <w:r>
              <w:t>项目名称</w:t>
            </w:r>
          </w:p>
        </w:tc>
        <w:tc>
          <w:tcPr>
            <w:tcW w:w="4423" w:type="dxa"/>
            <w:gridSpan w:val="3"/>
            <w:vAlign w:val="center"/>
          </w:tcPr>
          <w:p>
            <w:pPr>
              <w:pStyle w:val="8"/>
            </w:pPr>
            <w:r>
              <w:t>怀财字【2022】7号 办公楼维修资金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8"/>
            </w:pPr>
            <w:r>
              <w:t>130.00</w:t>
            </w:r>
          </w:p>
        </w:tc>
        <w:tc>
          <w:tcPr>
            <w:tcW w:w="1587" w:type="dxa"/>
            <w:vAlign w:val="center"/>
          </w:tcPr>
          <w:p>
            <w:pPr>
              <w:pStyle w:val="9"/>
            </w:pPr>
            <w:r>
              <w:t>其中：财政    资金</w:t>
            </w:r>
          </w:p>
        </w:tc>
        <w:tc>
          <w:tcPr>
            <w:tcW w:w="1304" w:type="dxa"/>
            <w:vAlign w:val="center"/>
          </w:tcPr>
          <w:p>
            <w:pPr>
              <w:pStyle w:val="8"/>
            </w:pPr>
            <w:r>
              <w:t>130.00</w:t>
            </w:r>
          </w:p>
        </w:tc>
        <w:tc>
          <w:tcPr>
            <w:tcW w:w="1276" w:type="dxa"/>
            <w:vAlign w:val="center"/>
          </w:tcPr>
          <w:p>
            <w:pPr>
              <w:pStyle w:val="9"/>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8"/>
            </w:pPr>
            <w:r>
              <w:t>楼梯修缮、更换窗户及配套设施。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9"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8"/>
            </w:pPr>
            <w:r>
              <w:t>1.楼梯修缮、更换窗户及配套设施。</w:t>
            </w:r>
          </w:p>
        </w:tc>
      </w:tr>
    </w:tbl>
    <w:p>
      <w:pPr>
        <w:spacing w:line="2" w:lineRule="exact"/>
        <w:jc w:val="center"/>
      </w:pPr>
      <w:r>
        <w:rPr>
          <w:rFonts w:ascii="方正书宋_GBK" w:hAnsi="方正书宋_GBK" w:eastAsia="方正书宋_GBK" w:cs="方正书宋_GBK"/>
          <w:color w:val="000000"/>
          <w:sz w:val="21"/>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产出指标</w:t>
            </w:r>
          </w:p>
        </w:tc>
        <w:tc>
          <w:tcPr>
            <w:tcW w:w="1276" w:type="dxa"/>
            <w:vAlign w:val="center"/>
          </w:tcPr>
          <w:p>
            <w:pPr>
              <w:pStyle w:val="8"/>
            </w:pPr>
            <w:r>
              <w:t>数量指标</w:t>
            </w:r>
          </w:p>
        </w:tc>
        <w:tc>
          <w:tcPr>
            <w:tcW w:w="1332" w:type="dxa"/>
            <w:vAlign w:val="center"/>
          </w:tcPr>
          <w:p>
            <w:pPr>
              <w:pStyle w:val="8"/>
            </w:pPr>
            <w:r>
              <w:t>维修维护数量</w:t>
            </w:r>
          </w:p>
        </w:tc>
        <w:tc>
          <w:tcPr>
            <w:tcW w:w="2891" w:type="dxa"/>
            <w:vAlign w:val="center"/>
          </w:tcPr>
          <w:p>
            <w:pPr>
              <w:pStyle w:val="8"/>
            </w:pPr>
            <w:r>
              <w:t>对单位已有建筑及设施进行维修维护。</w:t>
            </w:r>
          </w:p>
        </w:tc>
        <w:tc>
          <w:tcPr>
            <w:tcW w:w="1276" w:type="dxa"/>
            <w:vAlign w:val="center"/>
          </w:tcPr>
          <w:p>
            <w:pPr>
              <w:pStyle w:val="8"/>
            </w:pPr>
            <w:r>
              <w:t>2座</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验收合格率</w:t>
            </w:r>
          </w:p>
        </w:tc>
        <w:tc>
          <w:tcPr>
            <w:tcW w:w="2891" w:type="dxa"/>
            <w:vAlign w:val="center"/>
          </w:tcPr>
          <w:p>
            <w:pPr>
              <w:pStyle w:val="8"/>
            </w:pPr>
            <w:r>
              <w:t>已完成验收的合格率</w:t>
            </w:r>
          </w:p>
        </w:tc>
        <w:tc>
          <w:tcPr>
            <w:tcW w:w="1276" w:type="dxa"/>
            <w:vAlign w:val="center"/>
          </w:tcPr>
          <w:p>
            <w:pPr>
              <w:pStyle w:val="8"/>
            </w:pPr>
            <w:r>
              <w:t>≥99百分比</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维修维护完成时间</w:t>
            </w:r>
          </w:p>
        </w:tc>
        <w:tc>
          <w:tcPr>
            <w:tcW w:w="2891" w:type="dxa"/>
            <w:vAlign w:val="center"/>
          </w:tcPr>
          <w:p>
            <w:pPr>
              <w:pStyle w:val="8"/>
            </w:pPr>
            <w:r>
              <w:t>在合同规定的时间范围内完成</w:t>
            </w:r>
          </w:p>
        </w:tc>
        <w:tc>
          <w:tcPr>
            <w:tcW w:w="1276" w:type="dxa"/>
            <w:vAlign w:val="center"/>
          </w:tcPr>
          <w:p>
            <w:pPr>
              <w:pStyle w:val="8"/>
            </w:pPr>
            <w:r>
              <w:t>≤100百分比</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项目成本</w:t>
            </w:r>
          </w:p>
        </w:tc>
        <w:tc>
          <w:tcPr>
            <w:tcW w:w="2891" w:type="dxa"/>
            <w:vAlign w:val="center"/>
          </w:tcPr>
          <w:p>
            <w:pPr>
              <w:pStyle w:val="8"/>
            </w:pPr>
            <w:r>
              <w:t>各种维修资金保障充足</w:t>
            </w:r>
          </w:p>
        </w:tc>
        <w:tc>
          <w:tcPr>
            <w:tcW w:w="1276" w:type="dxa"/>
            <w:vAlign w:val="center"/>
          </w:tcPr>
          <w:p>
            <w:pPr>
              <w:pStyle w:val="8"/>
            </w:pPr>
            <w:r>
              <w:t>≤130万元</w:t>
            </w:r>
          </w:p>
        </w:tc>
        <w:tc>
          <w:tcPr>
            <w:tcW w:w="1843" w:type="dxa"/>
            <w:vAlign w:val="center"/>
          </w:tcPr>
          <w:p>
            <w:pPr>
              <w:pStyle w:val="8"/>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效益指标</w:t>
            </w:r>
          </w:p>
        </w:tc>
        <w:tc>
          <w:tcPr>
            <w:tcW w:w="1276" w:type="dxa"/>
            <w:vAlign w:val="center"/>
          </w:tcPr>
          <w:p>
            <w:pPr>
              <w:pStyle w:val="8"/>
            </w:pPr>
            <w:r>
              <w:t>社会效益指标</w:t>
            </w:r>
          </w:p>
        </w:tc>
        <w:tc>
          <w:tcPr>
            <w:tcW w:w="1332" w:type="dxa"/>
            <w:vAlign w:val="center"/>
          </w:tcPr>
          <w:p>
            <w:pPr>
              <w:pStyle w:val="8"/>
            </w:pPr>
            <w:r>
              <w:t>单位运行情况</w:t>
            </w:r>
          </w:p>
        </w:tc>
        <w:tc>
          <w:tcPr>
            <w:tcW w:w="2891" w:type="dxa"/>
            <w:vAlign w:val="center"/>
          </w:tcPr>
          <w:p>
            <w:pPr>
              <w:pStyle w:val="8"/>
            </w:pPr>
            <w:r>
              <w:t>资金保障充足，单位各项工作正常运转。</w:t>
            </w:r>
          </w:p>
        </w:tc>
        <w:tc>
          <w:tcPr>
            <w:tcW w:w="1276" w:type="dxa"/>
            <w:vAlign w:val="center"/>
          </w:tcPr>
          <w:p>
            <w:pPr>
              <w:pStyle w:val="8"/>
            </w:pPr>
            <w:r>
              <w:t>进一步提升办公安全</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满意度指标</w:t>
            </w:r>
          </w:p>
        </w:tc>
        <w:tc>
          <w:tcPr>
            <w:tcW w:w="1276" w:type="dxa"/>
            <w:vAlign w:val="center"/>
          </w:tcPr>
          <w:p>
            <w:pPr>
              <w:pStyle w:val="8"/>
            </w:pPr>
            <w:r>
              <w:t>服务对象满意度指标</w:t>
            </w:r>
          </w:p>
        </w:tc>
        <w:tc>
          <w:tcPr>
            <w:tcW w:w="1332" w:type="dxa"/>
            <w:vAlign w:val="center"/>
          </w:tcPr>
          <w:p>
            <w:pPr>
              <w:pStyle w:val="8"/>
            </w:pPr>
            <w:r>
              <w:t>工作人员满意度</w:t>
            </w:r>
          </w:p>
        </w:tc>
        <w:tc>
          <w:tcPr>
            <w:tcW w:w="2891" w:type="dxa"/>
            <w:vAlign w:val="center"/>
          </w:tcPr>
          <w:p>
            <w:pPr>
              <w:pStyle w:val="8"/>
            </w:pPr>
            <w:r>
              <w:t>工作人员对维修成果的满意度</w:t>
            </w:r>
          </w:p>
        </w:tc>
        <w:tc>
          <w:tcPr>
            <w:tcW w:w="1276" w:type="dxa"/>
            <w:vAlign w:val="center"/>
          </w:tcPr>
          <w:p>
            <w:pPr>
              <w:pStyle w:val="8"/>
            </w:pPr>
            <w:r>
              <w:t>≥100百分比</w:t>
            </w:r>
          </w:p>
        </w:tc>
        <w:tc>
          <w:tcPr>
            <w:tcW w:w="1843" w:type="dxa"/>
            <w:vAlign w:val="center"/>
          </w:tcPr>
          <w:p>
            <w:pPr>
              <w:pStyle w:val="8"/>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公车购置绩效目标表</w:t>
      </w:r>
      <w:bookmarkEnd w:id="4"/>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8"/>
            </w:pPr>
            <w:r>
              <w:t>13073022P008357100014</w:t>
            </w:r>
          </w:p>
        </w:tc>
        <w:tc>
          <w:tcPr>
            <w:tcW w:w="1587" w:type="dxa"/>
            <w:vAlign w:val="center"/>
          </w:tcPr>
          <w:p>
            <w:pPr>
              <w:pStyle w:val="9"/>
            </w:pPr>
            <w:r>
              <w:t>项目名称</w:t>
            </w:r>
          </w:p>
        </w:tc>
        <w:tc>
          <w:tcPr>
            <w:tcW w:w="4423" w:type="dxa"/>
            <w:gridSpan w:val="3"/>
            <w:vAlign w:val="center"/>
          </w:tcPr>
          <w:p>
            <w:pPr>
              <w:pStyle w:val="8"/>
            </w:pPr>
            <w:r>
              <w:t>怀财字【2022】7号 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8"/>
            </w:pPr>
            <w:r>
              <w:t>41.00</w:t>
            </w:r>
          </w:p>
        </w:tc>
        <w:tc>
          <w:tcPr>
            <w:tcW w:w="1587" w:type="dxa"/>
            <w:vAlign w:val="center"/>
          </w:tcPr>
          <w:p>
            <w:pPr>
              <w:pStyle w:val="9"/>
            </w:pPr>
            <w:r>
              <w:t>其中：财政    资金</w:t>
            </w:r>
          </w:p>
        </w:tc>
        <w:tc>
          <w:tcPr>
            <w:tcW w:w="1304" w:type="dxa"/>
            <w:vAlign w:val="center"/>
          </w:tcPr>
          <w:p>
            <w:pPr>
              <w:pStyle w:val="8"/>
            </w:pPr>
            <w:r>
              <w:t>41.00</w:t>
            </w:r>
          </w:p>
        </w:tc>
        <w:tc>
          <w:tcPr>
            <w:tcW w:w="1276" w:type="dxa"/>
            <w:vAlign w:val="center"/>
          </w:tcPr>
          <w:p>
            <w:pPr>
              <w:pStyle w:val="9"/>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8"/>
            </w:pPr>
            <w:r>
              <w:t>车辆购置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0"/>
            </w:pPr>
            <w:r>
              <w:t>100%</w:t>
            </w:r>
          </w:p>
        </w:tc>
        <w:tc>
          <w:tcPr>
            <w:tcW w:w="1587" w:type="dxa"/>
            <w:vAlign w:val="center"/>
          </w:tcPr>
          <w:p>
            <w:pPr>
              <w:pStyle w:val="10"/>
            </w:pPr>
            <w:r>
              <w:t>100%</w:t>
            </w:r>
          </w:p>
        </w:tc>
        <w:tc>
          <w:tcPr>
            <w:tcW w:w="1304" w:type="dxa"/>
            <w:vAlign w:val="center"/>
          </w:tcPr>
          <w:p>
            <w:pPr>
              <w:pStyle w:val="10"/>
            </w:pPr>
            <w:r>
              <w:t>100%</w:t>
            </w:r>
          </w:p>
        </w:tc>
        <w:tc>
          <w:tcPr>
            <w:tcW w:w="3119"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8"/>
            </w:pPr>
            <w:r>
              <w:t>1.车辆购置</w:t>
            </w:r>
          </w:p>
        </w:tc>
      </w:tr>
    </w:tbl>
    <w:p>
      <w:pPr>
        <w:spacing w:line="2" w:lineRule="exact"/>
        <w:jc w:val="center"/>
      </w:pPr>
      <w:r>
        <w:rPr>
          <w:rFonts w:ascii="方正书宋_GBK" w:hAnsi="方正书宋_GBK" w:eastAsia="方正书宋_GBK" w:cs="方正书宋_GBK"/>
          <w:color w:val="000000"/>
          <w:sz w:val="21"/>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产出指标</w:t>
            </w:r>
          </w:p>
        </w:tc>
        <w:tc>
          <w:tcPr>
            <w:tcW w:w="1276" w:type="dxa"/>
            <w:vAlign w:val="center"/>
          </w:tcPr>
          <w:p>
            <w:pPr>
              <w:pStyle w:val="8"/>
            </w:pPr>
            <w:r>
              <w:t>数量指标</w:t>
            </w:r>
          </w:p>
        </w:tc>
        <w:tc>
          <w:tcPr>
            <w:tcW w:w="1332" w:type="dxa"/>
            <w:vAlign w:val="center"/>
          </w:tcPr>
          <w:p>
            <w:pPr>
              <w:pStyle w:val="8"/>
            </w:pPr>
            <w:r>
              <w:t>采购数量</w:t>
            </w:r>
          </w:p>
        </w:tc>
        <w:tc>
          <w:tcPr>
            <w:tcW w:w="2891" w:type="dxa"/>
            <w:vAlign w:val="center"/>
          </w:tcPr>
          <w:p>
            <w:pPr>
              <w:pStyle w:val="8"/>
            </w:pPr>
            <w:r>
              <w:t>根据工作计划购置的数量</w:t>
            </w:r>
          </w:p>
        </w:tc>
        <w:tc>
          <w:tcPr>
            <w:tcW w:w="1276" w:type="dxa"/>
            <w:vAlign w:val="center"/>
          </w:tcPr>
          <w:p>
            <w:pPr>
              <w:pStyle w:val="8"/>
            </w:pPr>
            <w:r>
              <w:t>2辆</w:t>
            </w:r>
          </w:p>
        </w:tc>
        <w:tc>
          <w:tcPr>
            <w:tcW w:w="1843" w:type="dxa"/>
            <w:vAlign w:val="center"/>
          </w:tcPr>
          <w:p>
            <w:pPr>
              <w:pStyle w:val="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合格率</w:t>
            </w:r>
          </w:p>
        </w:tc>
        <w:tc>
          <w:tcPr>
            <w:tcW w:w="2891" w:type="dxa"/>
            <w:vAlign w:val="center"/>
          </w:tcPr>
          <w:p>
            <w:pPr>
              <w:pStyle w:val="8"/>
            </w:pPr>
            <w:r>
              <w:t>按照合同约定</w:t>
            </w:r>
          </w:p>
        </w:tc>
        <w:tc>
          <w:tcPr>
            <w:tcW w:w="1276" w:type="dxa"/>
            <w:vAlign w:val="center"/>
          </w:tcPr>
          <w:p>
            <w:pPr>
              <w:pStyle w:val="8"/>
            </w:pPr>
            <w:r>
              <w:t>100百分比</w:t>
            </w:r>
          </w:p>
        </w:tc>
        <w:tc>
          <w:tcPr>
            <w:tcW w:w="1843" w:type="dxa"/>
            <w:vAlign w:val="center"/>
          </w:tcPr>
          <w:p>
            <w:pPr>
              <w:pStyle w:val="8"/>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支付及时率</w:t>
            </w:r>
          </w:p>
        </w:tc>
        <w:tc>
          <w:tcPr>
            <w:tcW w:w="2891" w:type="dxa"/>
            <w:vAlign w:val="center"/>
          </w:tcPr>
          <w:p>
            <w:pPr>
              <w:pStyle w:val="8"/>
            </w:pPr>
            <w:r>
              <w:t>支付按照合同约定完成</w:t>
            </w:r>
          </w:p>
        </w:tc>
        <w:tc>
          <w:tcPr>
            <w:tcW w:w="1276" w:type="dxa"/>
            <w:vAlign w:val="center"/>
          </w:tcPr>
          <w:p>
            <w:pPr>
              <w:pStyle w:val="8"/>
            </w:pPr>
            <w:r>
              <w:t>100百分比</w:t>
            </w:r>
          </w:p>
        </w:tc>
        <w:tc>
          <w:tcPr>
            <w:tcW w:w="1843" w:type="dxa"/>
            <w:vAlign w:val="center"/>
          </w:tcPr>
          <w:p>
            <w:pPr>
              <w:pStyle w:val="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项目总成本</w:t>
            </w:r>
          </w:p>
        </w:tc>
        <w:tc>
          <w:tcPr>
            <w:tcW w:w="2891" w:type="dxa"/>
            <w:vAlign w:val="center"/>
          </w:tcPr>
          <w:p>
            <w:pPr>
              <w:pStyle w:val="8"/>
            </w:pPr>
            <w:r>
              <w:t>项目预算控制数</w:t>
            </w:r>
          </w:p>
        </w:tc>
        <w:tc>
          <w:tcPr>
            <w:tcW w:w="1276" w:type="dxa"/>
            <w:vAlign w:val="center"/>
          </w:tcPr>
          <w:p>
            <w:pPr>
              <w:pStyle w:val="8"/>
            </w:pPr>
            <w:r>
              <w:t>≤41万元</w:t>
            </w:r>
          </w:p>
        </w:tc>
        <w:tc>
          <w:tcPr>
            <w:tcW w:w="1843" w:type="dxa"/>
            <w:vAlign w:val="center"/>
          </w:tcPr>
          <w:p>
            <w:pPr>
              <w:pStyle w:val="8"/>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效益指标</w:t>
            </w:r>
          </w:p>
        </w:tc>
        <w:tc>
          <w:tcPr>
            <w:tcW w:w="1276" w:type="dxa"/>
            <w:vAlign w:val="center"/>
          </w:tcPr>
          <w:p>
            <w:pPr>
              <w:pStyle w:val="8"/>
            </w:pPr>
            <w:r>
              <w:t>社会效益指标</w:t>
            </w:r>
          </w:p>
        </w:tc>
        <w:tc>
          <w:tcPr>
            <w:tcW w:w="1332" w:type="dxa"/>
            <w:vAlign w:val="center"/>
          </w:tcPr>
          <w:p>
            <w:pPr>
              <w:pStyle w:val="8"/>
            </w:pPr>
            <w:r>
              <w:t>保证资金及时支付</w:t>
            </w:r>
          </w:p>
        </w:tc>
        <w:tc>
          <w:tcPr>
            <w:tcW w:w="2891" w:type="dxa"/>
            <w:vAlign w:val="center"/>
          </w:tcPr>
          <w:p>
            <w:pPr>
              <w:pStyle w:val="8"/>
            </w:pPr>
            <w:r>
              <w:t>保证财政资金及时支付</w:t>
            </w:r>
          </w:p>
        </w:tc>
        <w:tc>
          <w:tcPr>
            <w:tcW w:w="1276" w:type="dxa"/>
            <w:vAlign w:val="center"/>
          </w:tcPr>
          <w:p>
            <w:pPr>
              <w:pStyle w:val="8"/>
            </w:pPr>
            <w:r>
              <w:t>进一步保障</w:t>
            </w:r>
          </w:p>
        </w:tc>
        <w:tc>
          <w:tcPr>
            <w:tcW w:w="1843" w:type="dxa"/>
            <w:vAlign w:val="center"/>
          </w:tcPr>
          <w:p>
            <w:pPr>
              <w:pStyle w:val="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满意度指标</w:t>
            </w:r>
          </w:p>
        </w:tc>
        <w:tc>
          <w:tcPr>
            <w:tcW w:w="1276" w:type="dxa"/>
            <w:vAlign w:val="center"/>
          </w:tcPr>
          <w:p>
            <w:pPr>
              <w:pStyle w:val="8"/>
            </w:pPr>
            <w:r>
              <w:t>服务对象满意度指标</w:t>
            </w:r>
          </w:p>
        </w:tc>
        <w:tc>
          <w:tcPr>
            <w:tcW w:w="1332" w:type="dxa"/>
            <w:vAlign w:val="center"/>
          </w:tcPr>
          <w:p>
            <w:pPr>
              <w:pStyle w:val="8"/>
            </w:pPr>
            <w:r>
              <w:t>单位运行满意度</w:t>
            </w:r>
          </w:p>
        </w:tc>
        <w:tc>
          <w:tcPr>
            <w:tcW w:w="2891" w:type="dxa"/>
            <w:vAlign w:val="center"/>
          </w:tcPr>
          <w:p>
            <w:pPr>
              <w:pStyle w:val="8"/>
            </w:pPr>
            <w:r>
              <w:t>单位对车辆使用的满意程度</w:t>
            </w:r>
          </w:p>
        </w:tc>
        <w:tc>
          <w:tcPr>
            <w:tcW w:w="1276" w:type="dxa"/>
            <w:vAlign w:val="center"/>
          </w:tcPr>
          <w:p>
            <w:pPr>
              <w:pStyle w:val="8"/>
            </w:pPr>
            <w:r>
              <w:t>≥90百分比</w:t>
            </w:r>
          </w:p>
        </w:tc>
        <w:tc>
          <w:tcPr>
            <w:tcW w:w="1843" w:type="dxa"/>
            <w:vAlign w:val="center"/>
          </w:tcPr>
          <w:p>
            <w:pPr>
              <w:pStyle w:val="8"/>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检察文化建设资金绩效目标表</w:t>
      </w:r>
      <w:bookmarkEnd w:id="5"/>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8"/>
            </w:pPr>
            <w:r>
              <w:t>13073022P008204100017</w:t>
            </w:r>
          </w:p>
        </w:tc>
        <w:tc>
          <w:tcPr>
            <w:tcW w:w="1587" w:type="dxa"/>
            <w:vAlign w:val="center"/>
          </w:tcPr>
          <w:p>
            <w:pPr>
              <w:pStyle w:val="9"/>
            </w:pPr>
            <w:r>
              <w:t>项目名称</w:t>
            </w:r>
          </w:p>
        </w:tc>
        <w:tc>
          <w:tcPr>
            <w:tcW w:w="4423" w:type="dxa"/>
            <w:gridSpan w:val="3"/>
            <w:vAlign w:val="center"/>
          </w:tcPr>
          <w:p>
            <w:pPr>
              <w:pStyle w:val="8"/>
            </w:pPr>
            <w:r>
              <w:t>怀财字【2022】7号 检察文化建设资金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8"/>
            </w:pPr>
            <w:r>
              <w:t>30.00</w:t>
            </w:r>
          </w:p>
        </w:tc>
        <w:tc>
          <w:tcPr>
            <w:tcW w:w="1587" w:type="dxa"/>
            <w:vAlign w:val="center"/>
          </w:tcPr>
          <w:p>
            <w:pPr>
              <w:pStyle w:val="9"/>
            </w:pPr>
            <w:r>
              <w:t>其中：财政    资金</w:t>
            </w:r>
          </w:p>
        </w:tc>
        <w:tc>
          <w:tcPr>
            <w:tcW w:w="1304" w:type="dxa"/>
            <w:vAlign w:val="center"/>
          </w:tcPr>
          <w:p>
            <w:pPr>
              <w:pStyle w:val="8"/>
            </w:pPr>
            <w:r>
              <w:t>30.00</w:t>
            </w:r>
          </w:p>
        </w:tc>
        <w:tc>
          <w:tcPr>
            <w:tcW w:w="1276" w:type="dxa"/>
            <w:vAlign w:val="center"/>
          </w:tcPr>
          <w:p>
            <w:pPr>
              <w:pStyle w:val="9"/>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8"/>
            </w:pPr>
            <w:r>
              <w:t>检察文化建设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9"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8"/>
            </w:pPr>
            <w:r>
              <w:t>1.检察文化建设</w:t>
            </w:r>
          </w:p>
        </w:tc>
      </w:tr>
    </w:tbl>
    <w:p>
      <w:pPr>
        <w:spacing w:line="2" w:lineRule="exact"/>
        <w:jc w:val="center"/>
      </w:pPr>
      <w:r>
        <w:rPr>
          <w:rFonts w:ascii="方正书宋_GBK" w:hAnsi="方正书宋_GBK" w:eastAsia="方正书宋_GBK" w:cs="方正书宋_GBK"/>
          <w:color w:val="000000"/>
          <w:sz w:val="21"/>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产出指标</w:t>
            </w:r>
          </w:p>
        </w:tc>
        <w:tc>
          <w:tcPr>
            <w:tcW w:w="1276" w:type="dxa"/>
            <w:vAlign w:val="center"/>
          </w:tcPr>
          <w:p>
            <w:pPr>
              <w:pStyle w:val="8"/>
            </w:pPr>
            <w:r>
              <w:t>数量指标</w:t>
            </w:r>
          </w:p>
        </w:tc>
        <w:tc>
          <w:tcPr>
            <w:tcW w:w="1332" w:type="dxa"/>
            <w:vAlign w:val="center"/>
          </w:tcPr>
          <w:p>
            <w:pPr>
              <w:pStyle w:val="8"/>
            </w:pPr>
            <w:r>
              <w:t>文化建设、文化装修</w:t>
            </w:r>
          </w:p>
        </w:tc>
        <w:tc>
          <w:tcPr>
            <w:tcW w:w="2891" w:type="dxa"/>
            <w:vAlign w:val="center"/>
          </w:tcPr>
          <w:p>
            <w:pPr>
              <w:pStyle w:val="8"/>
            </w:pPr>
            <w:r>
              <w:t>对单位文化与楼梯等设施进行维修维护。</w:t>
            </w:r>
          </w:p>
        </w:tc>
        <w:tc>
          <w:tcPr>
            <w:tcW w:w="1276" w:type="dxa"/>
            <w:vAlign w:val="center"/>
          </w:tcPr>
          <w:p>
            <w:pPr>
              <w:pStyle w:val="8"/>
            </w:pPr>
            <w:r>
              <w:t>1座</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验收合格率</w:t>
            </w:r>
          </w:p>
        </w:tc>
        <w:tc>
          <w:tcPr>
            <w:tcW w:w="2891" w:type="dxa"/>
            <w:vAlign w:val="center"/>
          </w:tcPr>
          <w:p>
            <w:pPr>
              <w:pStyle w:val="8"/>
            </w:pPr>
            <w:r>
              <w:t>已完成验收的合格率</w:t>
            </w:r>
          </w:p>
        </w:tc>
        <w:tc>
          <w:tcPr>
            <w:tcW w:w="1276" w:type="dxa"/>
            <w:vAlign w:val="center"/>
          </w:tcPr>
          <w:p>
            <w:pPr>
              <w:pStyle w:val="8"/>
            </w:pPr>
            <w:r>
              <w:t>≥99百分比</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维修维护完成时间</w:t>
            </w:r>
          </w:p>
        </w:tc>
        <w:tc>
          <w:tcPr>
            <w:tcW w:w="2891" w:type="dxa"/>
            <w:vAlign w:val="center"/>
          </w:tcPr>
          <w:p>
            <w:pPr>
              <w:pStyle w:val="8"/>
            </w:pPr>
            <w:r>
              <w:t>在合同规定的时间范围内完成</w:t>
            </w:r>
          </w:p>
        </w:tc>
        <w:tc>
          <w:tcPr>
            <w:tcW w:w="1276" w:type="dxa"/>
            <w:vAlign w:val="center"/>
          </w:tcPr>
          <w:p>
            <w:pPr>
              <w:pStyle w:val="8"/>
            </w:pPr>
            <w:r>
              <w:t>≤100百分比</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项目成本</w:t>
            </w:r>
          </w:p>
        </w:tc>
        <w:tc>
          <w:tcPr>
            <w:tcW w:w="2891" w:type="dxa"/>
            <w:vAlign w:val="center"/>
          </w:tcPr>
          <w:p>
            <w:pPr>
              <w:pStyle w:val="8"/>
            </w:pPr>
            <w:r>
              <w:t>各种文化建设资金保障充足</w:t>
            </w:r>
          </w:p>
        </w:tc>
        <w:tc>
          <w:tcPr>
            <w:tcW w:w="1276" w:type="dxa"/>
            <w:vAlign w:val="center"/>
          </w:tcPr>
          <w:p>
            <w:pPr>
              <w:pStyle w:val="8"/>
            </w:pPr>
            <w:r>
              <w:t>≤30万元</w:t>
            </w:r>
          </w:p>
        </w:tc>
        <w:tc>
          <w:tcPr>
            <w:tcW w:w="1843" w:type="dxa"/>
            <w:vAlign w:val="center"/>
          </w:tcPr>
          <w:p>
            <w:pPr>
              <w:pStyle w:val="8"/>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效益指标</w:t>
            </w:r>
          </w:p>
        </w:tc>
        <w:tc>
          <w:tcPr>
            <w:tcW w:w="1276" w:type="dxa"/>
            <w:vAlign w:val="center"/>
          </w:tcPr>
          <w:p>
            <w:pPr>
              <w:pStyle w:val="8"/>
            </w:pPr>
            <w:r>
              <w:t>社会效益指标</w:t>
            </w:r>
          </w:p>
        </w:tc>
        <w:tc>
          <w:tcPr>
            <w:tcW w:w="1332" w:type="dxa"/>
            <w:vAlign w:val="center"/>
          </w:tcPr>
          <w:p>
            <w:pPr>
              <w:pStyle w:val="8"/>
            </w:pPr>
            <w:r>
              <w:t>单位运行情况</w:t>
            </w:r>
          </w:p>
        </w:tc>
        <w:tc>
          <w:tcPr>
            <w:tcW w:w="2891" w:type="dxa"/>
            <w:vAlign w:val="center"/>
          </w:tcPr>
          <w:p>
            <w:pPr>
              <w:pStyle w:val="8"/>
            </w:pPr>
            <w:r>
              <w:t>资金保障充足，单位各项工作正常运转。</w:t>
            </w:r>
          </w:p>
        </w:tc>
        <w:tc>
          <w:tcPr>
            <w:tcW w:w="1276" w:type="dxa"/>
            <w:vAlign w:val="center"/>
          </w:tcPr>
          <w:p>
            <w:pPr>
              <w:pStyle w:val="8"/>
            </w:pPr>
            <w:r>
              <w:t>进一步提升办公环境</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满意度指标</w:t>
            </w:r>
          </w:p>
        </w:tc>
        <w:tc>
          <w:tcPr>
            <w:tcW w:w="1276" w:type="dxa"/>
            <w:vAlign w:val="center"/>
          </w:tcPr>
          <w:p>
            <w:pPr>
              <w:pStyle w:val="8"/>
            </w:pPr>
            <w:r>
              <w:t>服务对象满意度指标</w:t>
            </w:r>
          </w:p>
        </w:tc>
        <w:tc>
          <w:tcPr>
            <w:tcW w:w="1332" w:type="dxa"/>
            <w:vAlign w:val="center"/>
          </w:tcPr>
          <w:p>
            <w:pPr>
              <w:pStyle w:val="8"/>
            </w:pPr>
            <w:r>
              <w:t>工作人员满意度</w:t>
            </w:r>
          </w:p>
        </w:tc>
        <w:tc>
          <w:tcPr>
            <w:tcW w:w="2891" w:type="dxa"/>
            <w:vAlign w:val="center"/>
          </w:tcPr>
          <w:p>
            <w:pPr>
              <w:pStyle w:val="8"/>
            </w:pPr>
            <w:r>
              <w:t>工作人员对文化建设的满意度</w:t>
            </w:r>
          </w:p>
        </w:tc>
        <w:tc>
          <w:tcPr>
            <w:tcW w:w="1276" w:type="dxa"/>
            <w:vAlign w:val="center"/>
          </w:tcPr>
          <w:p>
            <w:pPr>
              <w:pStyle w:val="8"/>
            </w:pPr>
            <w:r>
              <w:t>≥100百分比</w:t>
            </w:r>
          </w:p>
        </w:tc>
        <w:tc>
          <w:tcPr>
            <w:tcW w:w="1843" w:type="dxa"/>
            <w:vAlign w:val="center"/>
          </w:tcPr>
          <w:p>
            <w:pPr>
              <w:pStyle w:val="8"/>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智慧检务绩效目标表</w:t>
      </w:r>
      <w:bookmarkEnd w:id="6"/>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8"/>
            </w:pPr>
            <w:r>
              <w:t>13073022P00820210001U</w:t>
            </w:r>
          </w:p>
        </w:tc>
        <w:tc>
          <w:tcPr>
            <w:tcW w:w="1587" w:type="dxa"/>
            <w:vAlign w:val="center"/>
          </w:tcPr>
          <w:p>
            <w:pPr>
              <w:pStyle w:val="9"/>
            </w:pPr>
            <w:r>
              <w:t>项目名称</w:t>
            </w:r>
          </w:p>
        </w:tc>
        <w:tc>
          <w:tcPr>
            <w:tcW w:w="4423" w:type="dxa"/>
            <w:gridSpan w:val="3"/>
            <w:vAlign w:val="center"/>
          </w:tcPr>
          <w:p>
            <w:pPr>
              <w:pStyle w:val="8"/>
            </w:pPr>
            <w:r>
              <w:t>怀财字【2022】7号 智慧检务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8"/>
            </w:pPr>
            <w:r>
              <w:t>120.00</w:t>
            </w:r>
          </w:p>
        </w:tc>
        <w:tc>
          <w:tcPr>
            <w:tcW w:w="1587" w:type="dxa"/>
            <w:vAlign w:val="center"/>
          </w:tcPr>
          <w:p>
            <w:pPr>
              <w:pStyle w:val="9"/>
            </w:pPr>
            <w:r>
              <w:t>其中：财政    资金</w:t>
            </w:r>
          </w:p>
        </w:tc>
        <w:tc>
          <w:tcPr>
            <w:tcW w:w="1304" w:type="dxa"/>
            <w:vAlign w:val="center"/>
          </w:tcPr>
          <w:p>
            <w:pPr>
              <w:pStyle w:val="8"/>
            </w:pPr>
            <w:r>
              <w:t>120.00</w:t>
            </w:r>
          </w:p>
        </w:tc>
        <w:tc>
          <w:tcPr>
            <w:tcW w:w="1276" w:type="dxa"/>
            <w:vAlign w:val="center"/>
          </w:tcPr>
          <w:p>
            <w:pPr>
              <w:pStyle w:val="9"/>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8"/>
            </w:pPr>
            <w:r>
              <w:t>建设远程庭审、远程提讯、检察听证室设备、其他网络设备、网络安全设备及视频设备。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9"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8"/>
            </w:pPr>
            <w:r>
              <w:t>1.智慧检务建设</w:t>
            </w:r>
          </w:p>
        </w:tc>
      </w:tr>
    </w:tbl>
    <w:p>
      <w:pPr>
        <w:spacing w:line="2" w:lineRule="exact"/>
        <w:jc w:val="center"/>
      </w:pPr>
      <w:r>
        <w:rPr>
          <w:rFonts w:ascii="方正书宋_GBK" w:hAnsi="方正书宋_GBK" w:eastAsia="方正书宋_GBK" w:cs="方正书宋_GBK"/>
          <w:color w:val="000000"/>
          <w:sz w:val="21"/>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产出指标</w:t>
            </w:r>
          </w:p>
        </w:tc>
        <w:tc>
          <w:tcPr>
            <w:tcW w:w="1276" w:type="dxa"/>
            <w:vAlign w:val="center"/>
          </w:tcPr>
          <w:p>
            <w:pPr>
              <w:pStyle w:val="8"/>
            </w:pPr>
            <w:r>
              <w:t>数量指标</w:t>
            </w:r>
          </w:p>
        </w:tc>
        <w:tc>
          <w:tcPr>
            <w:tcW w:w="1332" w:type="dxa"/>
            <w:vAlign w:val="center"/>
          </w:tcPr>
          <w:p>
            <w:pPr>
              <w:pStyle w:val="8"/>
            </w:pPr>
            <w:r>
              <w:t>建设智慧检务工程数量</w:t>
            </w:r>
          </w:p>
        </w:tc>
        <w:tc>
          <w:tcPr>
            <w:tcW w:w="2891" w:type="dxa"/>
            <w:vAlign w:val="center"/>
          </w:tcPr>
          <w:p>
            <w:pPr>
              <w:pStyle w:val="8"/>
            </w:pPr>
            <w:r>
              <w:t>建设远程庭审等智慧检务工程</w:t>
            </w:r>
          </w:p>
        </w:tc>
        <w:tc>
          <w:tcPr>
            <w:tcW w:w="1276" w:type="dxa"/>
            <w:vAlign w:val="center"/>
          </w:tcPr>
          <w:p>
            <w:pPr>
              <w:pStyle w:val="8"/>
            </w:pPr>
            <w:r>
              <w:t>1座</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验收合格率</w:t>
            </w:r>
          </w:p>
        </w:tc>
        <w:tc>
          <w:tcPr>
            <w:tcW w:w="2891" w:type="dxa"/>
            <w:vAlign w:val="center"/>
          </w:tcPr>
          <w:p>
            <w:pPr>
              <w:pStyle w:val="8"/>
            </w:pPr>
            <w:r>
              <w:t>已完成验收的合格率</w:t>
            </w:r>
          </w:p>
        </w:tc>
        <w:tc>
          <w:tcPr>
            <w:tcW w:w="1276" w:type="dxa"/>
            <w:vAlign w:val="center"/>
          </w:tcPr>
          <w:p>
            <w:pPr>
              <w:pStyle w:val="8"/>
            </w:pPr>
            <w:r>
              <w:t>≥99百分比</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建设完成时间</w:t>
            </w:r>
          </w:p>
        </w:tc>
        <w:tc>
          <w:tcPr>
            <w:tcW w:w="2891" w:type="dxa"/>
            <w:vAlign w:val="center"/>
          </w:tcPr>
          <w:p>
            <w:pPr>
              <w:pStyle w:val="8"/>
            </w:pPr>
            <w:r>
              <w:t>在合同规定的时间范围内完成</w:t>
            </w:r>
          </w:p>
        </w:tc>
        <w:tc>
          <w:tcPr>
            <w:tcW w:w="1276" w:type="dxa"/>
            <w:vAlign w:val="center"/>
          </w:tcPr>
          <w:p>
            <w:pPr>
              <w:pStyle w:val="8"/>
            </w:pPr>
            <w:r>
              <w:t>≤100百分比</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项目成本</w:t>
            </w:r>
          </w:p>
        </w:tc>
        <w:tc>
          <w:tcPr>
            <w:tcW w:w="2891" w:type="dxa"/>
            <w:vAlign w:val="center"/>
          </w:tcPr>
          <w:p>
            <w:pPr>
              <w:pStyle w:val="8"/>
            </w:pPr>
            <w:r>
              <w:t>各种建设资金保障充足</w:t>
            </w:r>
          </w:p>
        </w:tc>
        <w:tc>
          <w:tcPr>
            <w:tcW w:w="1276" w:type="dxa"/>
            <w:vAlign w:val="center"/>
          </w:tcPr>
          <w:p>
            <w:pPr>
              <w:pStyle w:val="8"/>
            </w:pPr>
            <w:r>
              <w:t>≤120万元</w:t>
            </w:r>
          </w:p>
        </w:tc>
        <w:tc>
          <w:tcPr>
            <w:tcW w:w="1843" w:type="dxa"/>
            <w:vAlign w:val="center"/>
          </w:tcPr>
          <w:p>
            <w:pPr>
              <w:pStyle w:val="8"/>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效益指标</w:t>
            </w:r>
          </w:p>
        </w:tc>
        <w:tc>
          <w:tcPr>
            <w:tcW w:w="1276" w:type="dxa"/>
            <w:vAlign w:val="center"/>
          </w:tcPr>
          <w:p>
            <w:pPr>
              <w:pStyle w:val="8"/>
            </w:pPr>
            <w:r>
              <w:t>社会效益指标</w:t>
            </w:r>
          </w:p>
        </w:tc>
        <w:tc>
          <w:tcPr>
            <w:tcW w:w="1332" w:type="dxa"/>
            <w:vAlign w:val="center"/>
          </w:tcPr>
          <w:p>
            <w:pPr>
              <w:pStyle w:val="8"/>
            </w:pPr>
            <w:r>
              <w:t>单位运行情况</w:t>
            </w:r>
          </w:p>
        </w:tc>
        <w:tc>
          <w:tcPr>
            <w:tcW w:w="2891" w:type="dxa"/>
            <w:vAlign w:val="center"/>
          </w:tcPr>
          <w:p>
            <w:pPr>
              <w:pStyle w:val="8"/>
            </w:pPr>
            <w:r>
              <w:t>资金保障充足，单位各项工作正常运转。</w:t>
            </w:r>
          </w:p>
        </w:tc>
        <w:tc>
          <w:tcPr>
            <w:tcW w:w="1276" w:type="dxa"/>
            <w:vAlign w:val="center"/>
          </w:tcPr>
          <w:p>
            <w:pPr>
              <w:pStyle w:val="8"/>
            </w:pPr>
            <w:r>
              <w:t>提升远程庭审等远程工作</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满意度指标</w:t>
            </w:r>
          </w:p>
        </w:tc>
        <w:tc>
          <w:tcPr>
            <w:tcW w:w="1276" w:type="dxa"/>
            <w:vAlign w:val="center"/>
          </w:tcPr>
          <w:p>
            <w:pPr>
              <w:pStyle w:val="8"/>
            </w:pPr>
            <w:r>
              <w:t>服务对象满意度指标</w:t>
            </w:r>
          </w:p>
        </w:tc>
        <w:tc>
          <w:tcPr>
            <w:tcW w:w="1332" w:type="dxa"/>
            <w:vAlign w:val="center"/>
          </w:tcPr>
          <w:p>
            <w:pPr>
              <w:pStyle w:val="8"/>
            </w:pPr>
            <w:r>
              <w:t>工作人员满意度</w:t>
            </w:r>
          </w:p>
        </w:tc>
        <w:tc>
          <w:tcPr>
            <w:tcW w:w="2891" w:type="dxa"/>
            <w:vAlign w:val="center"/>
          </w:tcPr>
          <w:p>
            <w:pPr>
              <w:pStyle w:val="8"/>
            </w:pPr>
            <w:r>
              <w:t>工作人员对智慧检务的满意度</w:t>
            </w:r>
          </w:p>
        </w:tc>
        <w:tc>
          <w:tcPr>
            <w:tcW w:w="1276" w:type="dxa"/>
            <w:vAlign w:val="center"/>
          </w:tcPr>
          <w:p>
            <w:pPr>
              <w:pStyle w:val="8"/>
            </w:pPr>
            <w:r>
              <w:t>≥100百分比</w:t>
            </w:r>
          </w:p>
        </w:tc>
        <w:tc>
          <w:tcPr>
            <w:tcW w:w="1843" w:type="dxa"/>
            <w:vAlign w:val="center"/>
          </w:tcPr>
          <w:p>
            <w:pPr>
              <w:pStyle w:val="8"/>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专项公用经费绩效目标表</w:t>
      </w:r>
      <w:bookmarkEnd w:id="7"/>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8"/>
            </w:pPr>
            <w:r>
              <w:t>13073022P00835610001E</w:t>
            </w:r>
          </w:p>
        </w:tc>
        <w:tc>
          <w:tcPr>
            <w:tcW w:w="1587" w:type="dxa"/>
            <w:vAlign w:val="center"/>
          </w:tcPr>
          <w:p>
            <w:pPr>
              <w:pStyle w:val="9"/>
            </w:pPr>
            <w:r>
              <w:t>项目名称</w:t>
            </w:r>
          </w:p>
        </w:tc>
        <w:tc>
          <w:tcPr>
            <w:tcW w:w="4423" w:type="dxa"/>
            <w:gridSpan w:val="3"/>
            <w:vAlign w:val="center"/>
          </w:tcPr>
          <w:p>
            <w:pPr>
              <w:pStyle w:val="8"/>
            </w:pPr>
            <w:r>
              <w:t>怀财字【2022】7号 专项公用经费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8"/>
            </w:pPr>
            <w:r>
              <w:t>39.00</w:t>
            </w:r>
          </w:p>
        </w:tc>
        <w:tc>
          <w:tcPr>
            <w:tcW w:w="1587" w:type="dxa"/>
            <w:vAlign w:val="center"/>
          </w:tcPr>
          <w:p>
            <w:pPr>
              <w:pStyle w:val="9"/>
            </w:pPr>
            <w:r>
              <w:t>其中：财政    资金</w:t>
            </w:r>
          </w:p>
        </w:tc>
        <w:tc>
          <w:tcPr>
            <w:tcW w:w="1304" w:type="dxa"/>
            <w:vAlign w:val="center"/>
          </w:tcPr>
          <w:p>
            <w:pPr>
              <w:pStyle w:val="8"/>
            </w:pPr>
            <w:r>
              <w:t>39.00</w:t>
            </w:r>
          </w:p>
        </w:tc>
        <w:tc>
          <w:tcPr>
            <w:tcW w:w="1276" w:type="dxa"/>
            <w:vAlign w:val="center"/>
          </w:tcPr>
          <w:p>
            <w:pPr>
              <w:pStyle w:val="9"/>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8"/>
            </w:pPr>
            <w:r>
              <w:t>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9"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8"/>
            </w:pPr>
            <w:r>
              <w:t>1.办公经费</w:t>
            </w:r>
          </w:p>
        </w:tc>
      </w:tr>
    </w:tbl>
    <w:p>
      <w:pPr>
        <w:spacing w:line="2" w:lineRule="exact"/>
        <w:jc w:val="center"/>
      </w:pPr>
      <w:r>
        <w:rPr>
          <w:rFonts w:ascii="方正书宋_GBK" w:hAnsi="方正书宋_GBK" w:eastAsia="方正书宋_GBK" w:cs="方正书宋_GBK"/>
          <w:color w:val="000000"/>
          <w:sz w:val="21"/>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产出指标</w:t>
            </w:r>
          </w:p>
        </w:tc>
        <w:tc>
          <w:tcPr>
            <w:tcW w:w="1276" w:type="dxa"/>
            <w:vAlign w:val="center"/>
          </w:tcPr>
          <w:p>
            <w:pPr>
              <w:pStyle w:val="8"/>
            </w:pPr>
            <w:r>
              <w:t>数量指标</w:t>
            </w:r>
          </w:p>
        </w:tc>
        <w:tc>
          <w:tcPr>
            <w:tcW w:w="1332" w:type="dxa"/>
            <w:vAlign w:val="center"/>
          </w:tcPr>
          <w:p>
            <w:pPr>
              <w:pStyle w:val="8"/>
            </w:pPr>
            <w:r>
              <w:t>办公用品等</w:t>
            </w:r>
          </w:p>
        </w:tc>
        <w:tc>
          <w:tcPr>
            <w:tcW w:w="2891" w:type="dxa"/>
            <w:vAlign w:val="center"/>
          </w:tcPr>
          <w:p>
            <w:pPr>
              <w:pStyle w:val="8"/>
            </w:pPr>
            <w:r>
              <w:t>办公用品等</w:t>
            </w:r>
          </w:p>
        </w:tc>
        <w:tc>
          <w:tcPr>
            <w:tcW w:w="1276" w:type="dxa"/>
            <w:vAlign w:val="center"/>
          </w:tcPr>
          <w:p>
            <w:pPr>
              <w:pStyle w:val="8"/>
            </w:pPr>
            <w:r>
              <w:t>100百分比</w:t>
            </w:r>
          </w:p>
        </w:tc>
        <w:tc>
          <w:tcPr>
            <w:tcW w:w="1843" w:type="dxa"/>
            <w:vAlign w:val="center"/>
          </w:tcPr>
          <w:p>
            <w:pPr>
              <w:pStyle w:val="8"/>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办公费</w:t>
            </w:r>
          </w:p>
        </w:tc>
        <w:tc>
          <w:tcPr>
            <w:tcW w:w="2891" w:type="dxa"/>
            <w:vAlign w:val="center"/>
          </w:tcPr>
          <w:p>
            <w:pPr>
              <w:pStyle w:val="8"/>
            </w:pPr>
            <w:r>
              <w:t>办公费</w:t>
            </w:r>
          </w:p>
        </w:tc>
        <w:tc>
          <w:tcPr>
            <w:tcW w:w="1276" w:type="dxa"/>
            <w:vAlign w:val="center"/>
          </w:tcPr>
          <w:p>
            <w:pPr>
              <w:pStyle w:val="8"/>
            </w:pPr>
            <w:r>
              <w:t>100百分比</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支付率</w:t>
            </w:r>
          </w:p>
        </w:tc>
        <w:tc>
          <w:tcPr>
            <w:tcW w:w="2891" w:type="dxa"/>
            <w:vAlign w:val="center"/>
          </w:tcPr>
          <w:p>
            <w:pPr>
              <w:pStyle w:val="8"/>
            </w:pPr>
            <w:r>
              <w:t>按照实际情况进行支付</w:t>
            </w:r>
          </w:p>
        </w:tc>
        <w:tc>
          <w:tcPr>
            <w:tcW w:w="1276" w:type="dxa"/>
            <w:vAlign w:val="center"/>
          </w:tcPr>
          <w:p>
            <w:pPr>
              <w:pStyle w:val="8"/>
            </w:pPr>
            <w:r>
              <w:t>100百分比</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项目成本</w:t>
            </w:r>
          </w:p>
        </w:tc>
        <w:tc>
          <w:tcPr>
            <w:tcW w:w="2891" w:type="dxa"/>
            <w:vAlign w:val="center"/>
          </w:tcPr>
          <w:p>
            <w:pPr>
              <w:pStyle w:val="8"/>
            </w:pPr>
            <w:r>
              <w:t>财政百分百按需拨付</w:t>
            </w:r>
          </w:p>
        </w:tc>
        <w:tc>
          <w:tcPr>
            <w:tcW w:w="1276" w:type="dxa"/>
            <w:vAlign w:val="center"/>
          </w:tcPr>
          <w:p>
            <w:pPr>
              <w:pStyle w:val="8"/>
            </w:pPr>
            <w:r>
              <w:t>39万元</w:t>
            </w:r>
          </w:p>
        </w:tc>
        <w:tc>
          <w:tcPr>
            <w:tcW w:w="1843" w:type="dxa"/>
            <w:vAlign w:val="center"/>
          </w:tcPr>
          <w:p>
            <w:pPr>
              <w:pStyle w:val="8"/>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效益指标</w:t>
            </w:r>
          </w:p>
        </w:tc>
        <w:tc>
          <w:tcPr>
            <w:tcW w:w="1276" w:type="dxa"/>
            <w:vAlign w:val="center"/>
          </w:tcPr>
          <w:p>
            <w:pPr>
              <w:pStyle w:val="8"/>
            </w:pPr>
            <w:r>
              <w:t>社会效益指标</w:t>
            </w:r>
          </w:p>
        </w:tc>
        <w:tc>
          <w:tcPr>
            <w:tcW w:w="1332" w:type="dxa"/>
            <w:vAlign w:val="center"/>
          </w:tcPr>
          <w:p>
            <w:pPr>
              <w:pStyle w:val="8"/>
            </w:pPr>
            <w:r>
              <w:t>办公经费</w:t>
            </w:r>
          </w:p>
        </w:tc>
        <w:tc>
          <w:tcPr>
            <w:tcW w:w="2891" w:type="dxa"/>
            <w:vAlign w:val="center"/>
          </w:tcPr>
          <w:p>
            <w:pPr>
              <w:pStyle w:val="8"/>
            </w:pPr>
            <w:r>
              <w:t>办公经费</w:t>
            </w:r>
          </w:p>
        </w:tc>
        <w:tc>
          <w:tcPr>
            <w:tcW w:w="1276" w:type="dxa"/>
            <w:vAlign w:val="center"/>
          </w:tcPr>
          <w:p>
            <w:pPr>
              <w:pStyle w:val="8"/>
            </w:pPr>
            <w:r>
              <w:t>单位运行</w:t>
            </w:r>
          </w:p>
        </w:tc>
        <w:tc>
          <w:tcPr>
            <w:tcW w:w="1843" w:type="dxa"/>
            <w:vAlign w:val="center"/>
          </w:tcPr>
          <w:p>
            <w:pPr>
              <w:pStyle w:val="8"/>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满意度指标</w:t>
            </w:r>
          </w:p>
        </w:tc>
        <w:tc>
          <w:tcPr>
            <w:tcW w:w="1276" w:type="dxa"/>
            <w:vAlign w:val="center"/>
          </w:tcPr>
          <w:p>
            <w:pPr>
              <w:pStyle w:val="8"/>
            </w:pPr>
            <w:r>
              <w:t>服务对象满意度指标</w:t>
            </w:r>
          </w:p>
        </w:tc>
        <w:tc>
          <w:tcPr>
            <w:tcW w:w="1332" w:type="dxa"/>
            <w:vAlign w:val="center"/>
          </w:tcPr>
          <w:p>
            <w:pPr>
              <w:pStyle w:val="8"/>
            </w:pPr>
            <w:r>
              <w:t>办公运行满意度</w:t>
            </w:r>
          </w:p>
        </w:tc>
        <w:tc>
          <w:tcPr>
            <w:tcW w:w="2891" w:type="dxa"/>
            <w:vAlign w:val="center"/>
          </w:tcPr>
          <w:p>
            <w:pPr>
              <w:pStyle w:val="8"/>
            </w:pPr>
            <w:r>
              <w:t>单位正常运行</w:t>
            </w:r>
          </w:p>
        </w:tc>
        <w:tc>
          <w:tcPr>
            <w:tcW w:w="1276" w:type="dxa"/>
            <w:vAlign w:val="center"/>
          </w:tcPr>
          <w:p>
            <w:pPr>
              <w:pStyle w:val="8"/>
            </w:pPr>
            <w:r>
              <w:t>100百分比</w:t>
            </w:r>
          </w:p>
        </w:tc>
        <w:tc>
          <w:tcPr>
            <w:tcW w:w="1843" w:type="dxa"/>
            <w:vAlign w:val="center"/>
          </w:tcPr>
          <w:p>
            <w:pPr>
              <w:pStyle w:val="8"/>
            </w:pPr>
            <w:r>
              <w:t>实地调查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6.冀财政法【2021】62号河北省财政厅关于提前下达2022年中央政法纪检监察转移支付资金的通知绩效目标表</w:t>
      </w:r>
      <w:bookmarkEnd w:id="8"/>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8"/>
            </w:pPr>
            <w:r>
              <w:t>13073022P00836110005P</w:t>
            </w:r>
          </w:p>
        </w:tc>
        <w:tc>
          <w:tcPr>
            <w:tcW w:w="1587" w:type="dxa"/>
            <w:vAlign w:val="center"/>
          </w:tcPr>
          <w:p>
            <w:pPr>
              <w:pStyle w:val="9"/>
            </w:pPr>
            <w:r>
              <w:t>项目名称</w:t>
            </w:r>
          </w:p>
        </w:tc>
        <w:tc>
          <w:tcPr>
            <w:tcW w:w="4423" w:type="dxa"/>
            <w:gridSpan w:val="3"/>
            <w:vAlign w:val="center"/>
          </w:tcPr>
          <w:p>
            <w:pPr>
              <w:pStyle w:val="8"/>
            </w:pPr>
            <w:r>
              <w:t>冀财政法【2021】62号河北省财政厅关于提前下达2022年中央政法纪检监察转移支付资金的通知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8"/>
            </w:pPr>
            <w:r>
              <w:t>97.00</w:t>
            </w:r>
          </w:p>
        </w:tc>
        <w:tc>
          <w:tcPr>
            <w:tcW w:w="1587" w:type="dxa"/>
            <w:vAlign w:val="center"/>
          </w:tcPr>
          <w:p>
            <w:pPr>
              <w:pStyle w:val="9"/>
            </w:pPr>
            <w:r>
              <w:t>其中：财政    资金</w:t>
            </w:r>
          </w:p>
        </w:tc>
        <w:tc>
          <w:tcPr>
            <w:tcW w:w="1304" w:type="dxa"/>
            <w:vAlign w:val="center"/>
          </w:tcPr>
          <w:p>
            <w:pPr>
              <w:pStyle w:val="8"/>
            </w:pPr>
            <w:r>
              <w:t>97.00</w:t>
            </w:r>
          </w:p>
        </w:tc>
        <w:tc>
          <w:tcPr>
            <w:tcW w:w="1276" w:type="dxa"/>
            <w:vAlign w:val="center"/>
          </w:tcPr>
          <w:p>
            <w:pPr>
              <w:pStyle w:val="9"/>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8"/>
            </w:pPr>
            <w:r>
              <w:t>经费用于办理各类案件所需开支，购置各类业务装备.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9"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8"/>
            </w:pPr>
            <w:r>
              <w:t>1.经费用于办理各类案件所需开支，购置各类业务装备.</w:t>
            </w:r>
          </w:p>
        </w:tc>
      </w:tr>
    </w:tbl>
    <w:p>
      <w:pPr>
        <w:spacing w:line="2" w:lineRule="exact"/>
        <w:jc w:val="center"/>
      </w:pPr>
      <w:r>
        <w:rPr>
          <w:rFonts w:ascii="方正书宋_GBK" w:hAnsi="方正书宋_GBK" w:eastAsia="方正书宋_GBK" w:cs="方正书宋_GBK"/>
          <w:color w:val="000000"/>
          <w:sz w:val="21"/>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产出指标</w:t>
            </w:r>
          </w:p>
        </w:tc>
        <w:tc>
          <w:tcPr>
            <w:tcW w:w="1276" w:type="dxa"/>
            <w:vAlign w:val="center"/>
          </w:tcPr>
          <w:p>
            <w:pPr>
              <w:pStyle w:val="8"/>
            </w:pPr>
            <w:r>
              <w:t>数量指标</w:t>
            </w:r>
          </w:p>
        </w:tc>
        <w:tc>
          <w:tcPr>
            <w:tcW w:w="1332" w:type="dxa"/>
            <w:vAlign w:val="center"/>
          </w:tcPr>
          <w:p>
            <w:pPr>
              <w:pStyle w:val="8"/>
            </w:pPr>
            <w:r>
              <w:t>配置装备数量</w:t>
            </w:r>
          </w:p>
        </w:tc>
        <w:tc>
          <w:tcPr>
            <w:tcW w:w="2891" w:type="dxa"/>
            <w:vAlign w:val="center"/>
          </w:tcPr>
          <w:p>
            <w:pPr>
              <w:pStyle w:val="8"/>
            </w:pPr>
            <w:r>
              <w:t>支持部门业务装备配备数量</w:t>
            </w:r>
          </w:p>
        </w:tc>
        <w:tc>
          <w:tcPr>
            <w:tcW w:w="1276" w:type="dxa"/>
            <w:vAlign w:val="center"/>
          </w:tcPr>
          <w:p>
            <w:pPr>
              <w:pStyle w:val="8"/>
            </w:pPr>
            <w:r>
              <w:t>1套</w:t>
            </w:r>
          </w:p>
        </w:tc>
        <w:tc>
          <w:tcPr>
            <w:tcW w:w="1843" w:type="dxa"/>
            <w:vAlign w:val="center"/>
          </w:tcPr>
          <w:p>
            <w:pPr>
              <w:pStyle w:val="8"/>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全年结案率</w:t>
            </w:r>
          </w:p>
        </w:tc>
        <w:tc>
          <w:tcPr>
            <w:tcW w:w="2891" w:type="dxa"/>
            <w:vAlign w:val="center"/>
          </w:tcPr>
          <w:p>
            <w:pPr>
              <w:pStyle w:val="8"/>
            </w:pPr>
            <w:r>
              <w:t>已结案占案件比例</w:t>
            </w:r>
          </w:p>
        </w:tc>
        <w:tc>
          <w:tcPr>
            <w:tcW w:w="1276" w:type="dxa"/>
            <w:vAlign w:val="center"/>
          </w:tcPr>
          <w:p>
            <w:pPr>
              <w:pStyle w:val="8"/>
            </w:pPr>
            <w:r>
              <w:t>≥98百分比</w:t>
            </w:r>
          </w:p>
        </w:tc>
        <w:tc>
          <w:tcPr>
            <w:tcW w:w="1843" w:type="dxa"/>
            <w:vAlign w:val="center"/>
          </w:tcPr>
          <w:p>
            <w:pPr>
              <w:pStyle w:val="8"/>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业务装备采购及时性</w:t>
            </w:r>
          </w:p>
        </w:tc>
        <w:tc>
          <w:tcPr>
            <w:tcW w:w="2891" w:type="dxa"/>
            <w:vAlign w:val="center"/>
          </w:tcPr>
          <w:p>
            <w:pPr>
              <w:pStyle w:val="8"/>
            </w:pPr>
            <w:r>
              <w:t>业务装备采购及时性</w:t>
            </w:r>
          </w:p>
        </w:tc>
        <w:tc>
          <w:tcPr>
            <w:tcW w:w="1276" w:type="dxa"/>
            <w:vAlign w:val="center"/>
          </w:tcPr>
          <w:p>
            <w:pPr>
              <w:pStyle w:val="8"/>
            </w:pPr>
            <w:r>
              <w:t>100百分比</w:t>
            </w:r>
          </w:p>
        </w:tc>
        <w:tc>
          <w:tcPr>
            <w:tcW w:w="1843" w:type="dxa"/>
            <w:vAlign w:val="center"/>
          </w:tcPr>
          <w:p>
            <w:pPr>
              <w:pStyle w:val="8"/>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项目成本</w:t>
            </w:r>
          </w:p>
        </w:tc>
        <w:tc>
          <w:tcPr>
            <w:tcW w:w="2891" w:type="dxa"/>
            <w:vAlign w:val="center"/>
          </w:tcPr>
          <w:p>
            <w:pPr>
              <w:pStyle w:val="8"/>
            </w:pPr>
            <w:r>
              <w:t>资金本级财政全额保障</w:t>
            </w:r>
          </w:p>
        </w:tc>
        <w:tc>
          <w:tcPr>
            <w:tcW w:w="1276" w:type="dxa"/>
            <w:vAlign w:val="center"/>
          </w:tcPr>
          <w:p>
            <w:pPr>
              <w:pStyle w:val="8"/>
            </w:pPr>
            <w:r>
              <w:t>97万元</w:t>
            </w:r>
          </w:p>
        </w:tc>
        <w:tc>
          <w:tcPr>
            <w:tcW w:w="1843" w:type="dxa"/>
            <w:vAlign w:val="center"/>
          </w:tcPr>
          <w:p>
            <w:pPr>
              <w:pStyle w:val="8"/>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效益指标</w:t>
            </w:r>
          </w:p>
        </w:tc>
        <w:tc>
          <w:tcPr>
            <w:tcW w:w="1276" w:type="dxa"/>
            <w:vAlign w:val="center"/>
          </w:tcPr>
          <w:p>
            <w:pPr>
              <w:pStyle w:val="8"/>
            </w:pPr>
            <w:r>
              <w:t>社会效益指标</w:t>
            </w:r>
          </w:p>
        </w:tc>
        <w:tc>
          <w:tcPr>
            <w:tcW w:w="1332" w:type="dxa"/>
            <w:vAlign w:val="center"/>
          </w:tcPr>
          <w:p>
            <w:pPr>
              <w:pStyle w:val="8"/>
            </w:pPr>
            <w:r>
              <w:t>社会影响率</w:t>
            </w:r>
          </w:p>
        </w:tc>
        <w:tc>
          <w:tcPr>
            <w:tcW w:w="2891" w:type="dxa"/>
            <w:vAlign w:val="center"/>
          </w:tcPr>
          <w:p>
            <w:pPr>
              <w:pStyle w:val="8"/>
            </w:pPr>
            <w:r>
              <w:t>提升人民群众普法、守法、用法的法律知识</w:t>
            </w:r>
          </w:p>
        </w:tc>
        <w:tc>
          <w:tcPr>
            <w:tcW w:w="1276" w:type="dxa"/>
            <w:vAlign w:val="center"/>
          </w:tcPr>
          <w:p>
            <w:pPr>
              <w:pStyle w:val="8"/>
            </w:pPr>
            <w:r>
              <w:t>进一步提升人民群众的法律意识</w:t>
            </w:r>
          </w:p>
        </w:tc>
        <w:tc>
          <w:tcPr>
            <w:tcW w:w="1843" w:type="dxa"/>
            <w:vAlign w:val="center"/>
          </w:tcPr>
          <w:p>
            <w:pPr>
              <w:pStyle w:val="8"/>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满意度指标</w:t>
            </w:r>
          </w:p>
        </w:tc>
        <w:tc>
          <w:tcPr>
            <w:tcW w:w="1276" w:type="dxa"/>
            <w:vAlign w:val="center"/>
          </w:tcPr>
          <w:p>
            <w:pPr>
              <w:pStyle w:val="8"/>
            </w:pPr>
            <w:r>
              <w:t>服务对象满意度指标</w:t>
            </w:r>
          </w:p>
        </w:tc>
        <w:tc>
          <w:tcPr>
            <w:tcW w:w="1332" w:type="dxa"/>
            <w:vAlign w:val="center"/>
          </w:tcPr>
          <w:p>
            <w:pPr>
              <w:pStyle w:val="8"/>
            </w:pPr>
            <w:r>
              <w:t>社会公众满意度</w:t>
            </w:r>
          </w:p>
        </w:tc>
        <w:tc>
          <w:tcPr>
            <w:tcW w:w="2891" w:type="dxa"/>
            <w:vAlign w:val="center"/>
          </w:tcPr>
          <w:p>
            <w:pPr>
              <w:pStyle w:val="8"/>
            </w:pPr>
            <w:r>
              <w:t>社会公众对检察工作满意度</w:t>
            </w:r>
          </w:p>
        </w:tc>
        <w:tc>
          <w:tcPr>
            <w:tcW w:w="1276" w:type="dxa"/>
            <w:vAlign w:val="center"/>
          </w:tcPr>
          <w:p>
            <w:pPr>
              <w:pStyle w:val="8"/>
            </w:pPr>
            <w:r>
              <w:t>≥95百分比</w:t>
            </w:r>
          </w:p>
        </w:tc>
        <w:tc>
          <w:tcPr>
            <w:tcW w:w="1843" w:type="dxa"/>
            <w:vAlign w:val="center"/>
          </w:tcPr>
          <w:p>
            <w:pPr>
              <w:pStyle w:val="8"/>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7.冀财政法【2021】63号河北省财政厅关于提前下达2022年省级基层公检法司转移支付资金的通知绩效目标表</w:t>
      </w:r>
      <w:bookmarkEnd w:id="9"/>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8"/>
            </w:pPr>
            <w:r>
              <w:t>13073022P00836210004R</w:t>
            </w:r>
          </w:p>
        </w:tc>
        <w:tc>
          <w:tcPr>
            <w:tcW w:w="1587" w:type="dxa"/>
            <w:vAlign w:val="center"/>
          </w:tcPr>
          <w:p>
            <w:pPr>
              <w:pStyle w:val="9"/>
            </w:pPr>
            <w:r>
              <w:t>项目名称</w:t>
            </w:r>
          </w:p>
        </w:tc>
        <w:tc>
          <w:tcPr>
            <w:tcW w:w="4423" w:type="dxa"/>
            <w:gridSpan w:val="3"/>
            <w:vAlign w:val="center"/>
          </w:tcPr>
          <w:p>
            <w:pPr>
              <w:pStyle w:val="8"/>
            </w:pPr>
            <w:r>
              <w:t>冀财政法【2021】63号河北省财政厅关于提前下达2022年省级基层公检法司转移支付资金的通知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8"/>
            </w:pPr>
            <w:r>
              <w:t>79.00</w:t>
            </w:r>
          </w:p>
        </w:tc>
        <w:tc>
          <w:tcPr>
            <w:tcW w:w="1587" w:type="dxa"/>
            <w:vAlign w:val="center"/>
          </w:tcPr>
          <w:p>
            <w:pPr>
              <w:pStyle w:val="9"/>
            </w:pPr>
            <w:r>
              <w:t>其中：财政    资金</w:t>
            </w:r>
          </w:p>
        </w:tc>
        <w:tc>
          <w:tcPr>
            <w:tcW w:w="1304" w:type="dxa"/>
            <w:vAlign w:val="center"/>
          </w:tcPr>
          <w:p>
            <w:pPr>
              <w:pStyle w:val="8"/>
            </w:pPr>
            <w:r>
              <w:t>79.00</w:t>
            </w:r>
          </w:p>
        </w:tc>
        <w:tc>
          <w:tcPr>
            <w:tcW w:w="1276" w:type="dxa"/>
            <w:vAlign w:val="center"/>
          </w:tcPr>
          <w:p>
            <w:pPr>
              <w:pStyle w:val="9"/>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8"/>
            </w:pPr>
            <w:r>
              <w:t>部门办理各类案件（业务）所需经费开支及购置各类业务装备。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9"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8"/>
            </w:pPr>
            <w:r>
              <w:t>1.部门办理各类案件（业务）所需经费开支及购置各类业务装备。</w:t>
            </w:r>
          </w:p>
        </w:tc>
      </w:tr>
    </w:tbl>
    <w:p>
      <w:pPr>
        <w:spacing w:line="2" w:lineRule="exact"/>
        <w:jc w:val="center"/>
      </w:pPr>
      <w:r>
        <w:rPr>
          <w:rFonts w:ascii="方正书宋_GBK" w:hAnsi="方正书宋_GBK" w:eastAsia="方正书宋_GBK" w:cs="方正书宋_GBK"/>
          <w:color w:val="000000"/>
          <w:sz w:val="21"/>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产出指标</w:t>
            </w:r>
          </w:p>
        </w:tc>
        <w:tc>
          <w:tcPr>
            <w:tcW w:w="1276" w:type="dxa"/>
            <w:vAlign w:val="center"/>
          </w:tcPr>
          <w:p>
            <w:pPr>
              <w:pStyle w:val="8"/>
            </w:pPr>
            <w:r>
              <w:t>数量指标</w:t>
            </w:r>
          </w:p>
        </w:tc>
        <w:tc>
          <w:tcPr>
            <w:tcW w:w="1332" w:type="dxa"/>
            <w:vAlign w:val="center"/>
          </w:tcPr>
          <w:p>
            <w:pPr>
              <w:pStyle w:val="8"/>
            </w:pPr>
            <w:r>
              <w:t>配置装备数量</w:t>
            </w:r>
          </w:p>
        </w:tc>
        <w:tc>
          <w:tcPr>
            <w:tcW w:w="2891" w:type="dxa"/>
            <w:vAlign w:val="center"/>
          </w:tcPr>
          <w:p>
            <w:pPr>
              <w:pStyle w:val="8"/>
            </w:pPr>
            <w:r>
              <w:t>支持部门业务装备配备数量</w:t>
            </w:r>
          </w:p>
        </w:tc>
        <w:tc>
          <w:tcPr>
            <w:tcW w:w="1276" w:type="dxa"/>
            <w:vAlign w:val="center"/>
          </w:tcPr>
          <w:p>
            <w:pPr>
              <w:pStyle w:val="8"/>
            </w:pPr>
            <w:r>
              <w:t>1套</w:t>
            </w:r>
          </w:p>
        </w:tc>
        <w:tc>
          <w:tcPr>
            <w:tcW w:w="1843" w:type="dxa"/>
            <w:vAlign w:val="center"/>
          </w:tcPr>
          <w:p>
            <w:pPr>
              <w:pStyle w:val="8"/>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全年结案率</w:t>
            </w:r>
          </w:p>
        </w:tc>
        <w:tc>
          <w:tcPr>
            <w:tcW w:w="2891" w:type="dxa"/>
            <w:vAlign w:val="center"/>
          </w:tcPr>
          <w:p>
            <w:pPr>
              <w:pStyle w:val="8"/>
            </w:pPr>
            <w:r>
              <w:t>已结案占案件比例</w:t>
            </w:r>
          </w:p>
        </w:tc>
        <w:tc>
          <w:tcPr>
            <w:tcW w:w="1276" w:type="dxa"/>
            <w:vAlign w:val="center"/>
          </w:tcPr>
          <w:p>
            <w:pPr>
              <w:pStyle w:val="8"/>
            </w:pPr>
            <w:r>
              <w:t>≥98百分比</w:t>
            </w:r>
          </w:p>
        </w:tc>
        <w:tc>
          <w:tcPr>
            <w:tcW w:w="1843" w:type="dxa"/>
            <w:vAlign w:val="center"/>
          </w:tcPr>
          <w:p>
            <w:pPr>
              <w:pStyle w:val="8"/>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业务装备采购及时性</w:t>
            </w:r>
          </w:p>
        </w:tc>
        <w:tc>
          <w:tcPr>
            <w:tcW w:w="2891" w:type="dxa"/>
            <w:vAlign w:val="center"/>
          </w:tcPr>
          <w:p>
            <w:pPr>
              <w:pStyle w:val="8"/>
            </w:pPr>
            <w:r>
              <w:t>业务装备采购及时性</w:t>
            </w:r>
          </w:p>
        </w:tc>
        <w:tc>
          <w:tcPr>
            <w:tcW w:w="1276" w:type="dxa"/>
            <w:vAlign w:val="center"/>
          </w:tcPr>
          <w:p>
            <w:pPr>
              <w:pStyle w:val="8"/>
            </w:pPr>
            <w:r>
              <w:t>100百分比</w:t>
            </w:r>
          </w:p>
        </w:tc>
        <w:tc>
          <w:tcPr>
            <w:tcW w:w="1843" w:type="dxa"/>
            <w:vAlign w:val="center"/>
          </w:tcPr>
          <w:p>
            <w:pPr>
              <w:pStyle w:val="8"/>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项目成本</w:t>
            </w:r>
          </w:p>
        </w:tc>
        <w:tc>
          <w:tcPr>
            <w:tcW w:w="2891" w:type="dxa"/>
            <w:vAlign w:val="center"/>
          </w:tcPr>
          <w:p>
            <w:pPr>
              <w:pStyle w:val="8"/>
            </w:pPr>
            <w:r>
              <w:t>资金本级财政全额保障</w:t>
            </w:r>
          </w:p>
        </w:tc>
        <w:tc>
          <w:tcPr>
            <w:tcW w:w="1276" w:type="dxa"/>
            <w:vAlign w:val="center"/>
          </w:tcPr>
          <w:p>
            <w:pPr>
              <w:pStyle w:val="8"/>
            </w:pPr>
            <w:r>
              <w:t>79万元</w:t>
            </w:r>
          </w:p>
        </w:tc>
        <w:tc>
          <w:tcPr>
            <w:tcW w:w="1843" w:type="dxa"/>
            <w:vAlign w:val="center"/>
          </w:tcPr>
          <w:p>
            <w:pPr>
              <w:pStyle w:val="8"/>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效益指标</w:t>
            </w:r>
          </w:p>
        </w:tc>
        <w:tc>
          <w:tcPr>
            <w:tcW w:w="1276" w:type="dxa"/>
            <w:vAlign w:val="center"/>
          </w:tcPr>
          <w:p>
            <w:pPr>
              <w:pStyle w:val="8"/>
            </w:pPr>
            <w:r>
              <w:t>社会效益指标</w:t>
            </w:r>
          </w:p>
        </w:tc>
        <w:tc>
          <w:tcPr>
            <w:tcW w:w="1332" w:type="dxa"/>
            <w:vAlign w:val="center"/>
          </w:tcPr>
          <w:p>
            <w:pPr>
              <w:pStyle w:val="8"/>
            </w:pPr>
            <w:r>
              <w:t>社会影响率</w:t>
            </w:r>
          </w:p>
        </w:tc>
        <w:tc>
          <w:tcPr>
            <w:tcW w:w="2891" w:type="dxa"/>
            <w:vAlign w:val="center"/>
          </w:tcPr>
          <w:p>
            <w:pPr>
              <w:pStyle w:val="8"/>
            </w:pPr>
            <w:r>
              <w:t>提升人民群众普法、守法、用法的法律知识</w:t>
            </w:r>
          </w:p>
        </w:tc>
        <w:tc>
          <w:tcPr>
            <w:tcW w:w="1276" w:type="dxa"/>
            <w:vAlign w:val="center"/>
          </w:tcPr>
          <w:p>
            <w:pPr>
              <w:pStyle w:val="8"/>
            </w:pPr>
            <w:r>
              <w:t>进一步提升人民群众的法律意识</w:t>
            </w:r>
          </w:p>
        </w:tc>
        <w:tc>
          <w:tcPr>
            <w:tcW w:w="1843" w:type="dxa"/>
            <w:vAlign w:val="center"/>
          </w:tcPr>
          <w:p>
            <w:pPr>
              <w:pStyle w:val="8"/>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满意度指标</w:t>
            </w:r>
          </w:p>
        </w:tc>
        <w:tc>
          <w:tcPr>
            <w:tcW w:w="1276" w:type="dxa"/>
            <w:vAlign w:val="center"/>
          </w:tcPr>
          <w:p>
            <w:pPr>
              <w:pStyle w:val="8"/>
            </w:pPr>
            <w:r>
              <w:t>服务对象满意度指标</w:t>
            </w:r>
          </w:p>
        </w:tc>
        <w:tc>
          <w:tcPr>
            <w:tcW w:w="1332" w:type="dxa"/>
            <w:vAlign w:val="center"/>
          </w:tcPr>
          <w:p>
            <w:pPr>
              <w:pStyle w:val="8"/>
            </w:pPr>
            <w:r>
              <w:t>社会公众满意度</w:t>
            </w:r>
          </w:p>
        </w:tc>
        <w:tc>
          <w:tcPr>
            <w:tcW w:w="2891" w:type="dxa"/>
            <w:vAlign w:val="center"/>
          </w:tcPr>
          <w:p>
            <w:pPr>
              <w:pStyle w:val="8"/>
            </w:pPr>
            <w:r>
              <w:t>社会公众对检察工作满意度</w:t>
            </w:r>
          </w:p>
        </w:tc>
        <w:tc>
          <w:tcPr>
            <w:tcW w:w="1276" w:type="dxa"/>
            <w:vAlign w:val="center"/>
          </w:tcPr>
          <w:p>
            <w:pPr>
              <w:pStyle w:val="8"/>
            </w:pPr>
            <w:r>
              <w:t>≥95百分比</w:t>
            </w:r>
          </w:p>
        </w:tc>
        <w:tc>
          <w:tcPr>
            <w:tcW w:w="1843" w:type="dxa"/>
            <w:vAlign w:val="center"/>
          </w:tcPr>
          <w:p>
            <w:pPr>
              <w:pStyle w:val="8"/>
            </w:pPr>
            <w:r>
              <w:t>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仿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auto"/>
    <w:pitch w:val="default"/>
    <w:sig w:usb0="00000000" w:usb1="00000000" w:usb2="00000000" w:usb3="00000000" w:csb0="00040001" w:csb1="00000000"/>
  </w:font>
  <w:font w:name="方正黑体_GBK">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character" w:default="1" w:styleId="2">
    <w:name w:val="Default Paragraph Font"/>
    <w:semiHidden/>
    <w:unhideWhenUsed/>
    <w:uiPriority w:val="1"/>
  </w:style>
  <w:style w:type="paragraph" w:customStyle="1" w:styleId="3">
    <w:name w:val="插入文本样式-插入总体目标文件"/>
    <w:basedOn w:val="1"/>
    <w:qFormat/>
    <w:uiPriority w:val="0"/>
    <w:pPr>
      <w:spacing w:line="500" w:lineRule="exact"/>
      <w:ind w:firstLine="560"/>
    </w:pPr>
    <w:rPr>
      <w:rFonts w:eastAsia="方正仿宋_GBK"/>
      <w:sz w:val="28"/>
    </w:rPr>
  </w:style>
  <w:style w:type="paragraph" w:customStyle="1" w:styleId="4">
    <w:name w:val="插入文本样式-插入职责分类绩效目标文件"/>
    <w:basedOn w:val="1"/>
    <w:qFormat/>
    <w:uiPriority w:val="0"/>
    <w:pPr>
      <w:spacing w:line="500" w:lineRule="exact"/>
      <w:ind w:firstLine="560"/>
    </w:pPr>
    <w:rPr>
      <w:rFonts w:eastAsia="方正仿宋_GBK"/>
      <w:sz w:val="28"/>
    </w:rPr>
  </w:style>
  <w:style w:type="paragraph" w:customStyle="1" w:styleId="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6">
    <w:name w:val="单元格样式4"/>
    <w:basedOn w:val="1"/>
    <w:qFormat/>
    <w:uiPriority w:val="0"/>
    <w:pPr>
      <w:jc w:val="right"/>
    </w:pPr>
    <w:rPr>
      <w:rFonts w:ascii="方正书宋_GBK" w:hAnsi="方正书宋_GBK" w:eastAsia="方正书宋_GBK" w:cs="方正书宋_GBK"/>
      <w:sz w:val="21"/>
    </w:rPr>
  </w:style>
  <w:style w:type="paragraph" w:customStyle="1" w:styleId="7">
    <w:name w:val="单元格样式5"/>
    <w:basedOn w:val="1"/>
    <w:qFormat/>
    <w:uiPriority w:val="0"/>
    <w:rPr>
      <w:rFonts w:ascii="方正书宋_GBK" w:hAnsi="方正书宋_GBK" w:eastAsia="方正书宋_GBK" w:cs="方正书宋_GBK"/>
      <w:b/>
      <w:sz w:val="21"/>
    </w:rPr>
  </w:style>
  <w:style w:type="paragraph" w:customStyle="1" w:styleId="8">
    <w:name w:val="单元格样式2"/>
    <w:basedOn w:val="1"/>
    <w:qFormat/>
    <w:uiPriority w:val="0"/>
    <w:rPr>
      <w:rFonts w:ascii="方正书宋_GBK" w:hAnsi="方正书宋_GBK" w:eastAsia="方正书宋_GBK" w:cs="方正书宋_GBK"/>
      <w:sz w:val="21"/>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3"/>
    <w:basedOn w:val="1"/>
    <w:qFormat/>
    <w:uiPriority w:val="0"/>
    <w:pPr>
      <w:jc w:val="center"/>
    </w:pPr>
    <w:rPr>
      <w:rFonts w:ascii="方正书宋_GBK" w:hAnsi="方正书宋_GBK" w:eastAsia="方正书宋_GBK" w:cs="方正书宋_GBK"/>
      <w:sz w:val="21"/>
    </w:rPr>
  </w:style>
  <w:style w:type="paragraph" w:customStyle="1" w:styleId="11">
    <w:name w:val="TOC 2"/>
    <w:basedOn w:val="1"/>
    <w:qFormat/>
    <w:uiPriority w:val="0"/>
    <w:pPr>
      <w:ind w:left="240"/>
    </w:pPr>
  </w:style>
  <w:style w:type="paragraph" w:customStyle="1" w:styleId="12">
    <w:name w:val="TOC 4"/>
    <w:basedOn w:val="1"/>
    <w:qFormat/>
    <w:uiPriority w:val="0"/>
    <w:pPr>
      <w:ind w:left="720"/>
    </w:pPr>
  </w:style>
  <w:style w:type="paragraph" w:customStyle="1" w:styleId="13">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8354</Words>
  <Characters>8883</Characters>
  <Lines>74</Lines>
  <Paragraphs>20</Paragraphs>
  <ScaleCrop>false</ScaleCrop>
  <LinksUpToDate>false</LinksUpToDate>
  <CharactersWithSpaces>0</CharactersWithSpaces>
  <Application>WPS Office 专业版_9.1.0.4473_{F1E327BC-269C-435d-A152-05C5408002CA}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2022-04-20T14:31:00Z</dcterms:created>
  <dc:creator>Administrator</dc:creator>
  <cp:lastModifiedBy>Administrator</cp:lastModifiedBy>
  <dcterms:modified xsi:type="dcterms:W3CDTF">2025-05-27T08:09:00Z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2052-9.1.0.4473</vt:lpwstr>
  </property>
  <property fmtid="{D5CDD505-2E9C-101B-9397-08002B2CF9AE}" pid="3" name="ICV">
    <vt:lpwstr>4491D458B34F4499901D174442BFA2CD</vt:lpwstr>
  </property>
</Properties>
</file>