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AF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highlight w:val="none"/>
          <w:lang w:val="en-US" w:eastAsia="zh-CN"/>
        </w:rPr>
        <w:t>2025年</w:t>
      </w:r>
      <w:r>
        <w:rPr>
          <w:rFonts w:hint="eastAsia" w:ascii="方正小标宋_GBK" w:hAnsi="方正小标宋_GBK" w:eastAsia="方正小标宋_GBK" w:cs="方正小标宋_GBK"/>
          <w:sz w:val="44"/>
          <w:szCs w:val="44"/>
          <w:lang w:val="en-US" w:eastAsia="zh-CN"/>
        </w:rPr>
        <w:t>怀来县预算公开有关事项的说明</w:t>
      </w:r>
    </w:p>
    <w:p w14:paraId="2B8F61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p>
    <w:p w14:paraId="038F00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县级财政性资金安排“三公”经费预算情况</w:t>
      </w:r>
    </w:p>
    <w:p w14:paraId="1F7A0A47">
      <w:pPr>
        <w:spacing w:line="560" w:lineRule="exact"/>
        <w:ind w:firstLine="632" w:firstLineChars="200"/>
        <w:rPr>
          <w:rFonts w:ascii="仿宋_GB2312" w:hAnsi="Verdana"/>
          <w:szCs w:val="32"/>
        </w:rPr>
      </w:pPr>
      <w:r>
        <w:rPr>
          <w:rFonts w:hint="eastAsia" w:ascii="仿宋_GB2312" w:hAnsi="Verdana"/>
          <w:szCs w:val="32"/>
        </w:rPr>
        <w:t>按照财政厅报告和公开口径，202</w:t>
      </w:r>
      <w:r>
        <w:rPr>
          <w:rFonts w:hint="eastAsia" w:ascii="仿宋_GB2312" w:hAnsi="Verdana"/>
          <w:szCs w:val="32"/>
          <w:lang w:val="en-US" w:eastAsia="zh-CN"/>
        </w:rPr>
        <w:t>5</w:t>
      </w:r>
      <w:r>
        <w:rPr>
          <w:rFonts w:hint="eastAsia" w:ascii="仿宋_GB2312" w:hAnsi="Verdana"/>
          <w:szCs w:val="32"/>
        </w:rPr>
        <w:t>年县级“三公”经费预算安排</w:t>
      </w:r>
      <w:r>
        <w:rPr>
          <w:rFonts w:hint="eastAsia" w:ascii="仿宋_GB2312" w:hAnsi="Verdana"/>
          <w:szCs w:val="32"/>
          <w:lang w:val="en-US" w:eastAsia="zh-CN"/>
        </w:rPr>
        <w:t>1439.6</w:t>
      </w:r>
      <w:r>
        <w:rPr>
          <w:rFonts w:hint="eastAsia" w:ascii="仿宋_GB2312" w:hAnsi="Verdana"/>
          <w:szCs w:val="32"/>
        </w:rPr>
        <w:t>万元，减少</w:t>
      </w:r>
      <w:r>
        <w:rPr>
          <w:rFonts w:hint="eastAsia" w:ascii="仿宋_GB2312" w:hAnsi="Verdana"/>
          <w:szCs w:val="32"/>
          <w:lang w:val="en-US" w:eastAsia="zh-CN"/>
        </w:rPr>
        <w:t>1.9</w:t>
      </w:r>
      <w:r>
        <w:rPr>
          <w:rFonts w:hint="eastAsia" w:ascii="仿宋_GB2312" w:hAnsi="Verdana"/>
          <w:szCs w:val="32"/>
        </w:rPr>
        <w:t>万元，下降</w:t>
      </w:r>
      <w:r>
        <w:rPr>
          <w:rFonts w:hint="eastAsia" w:ascii="仿宋_GB2312" w:hAnsi="Verdana"/>
          <w:szCs w:val="32"/>
          <w:lang w:val="en-US" w:eastAsia="zh-CN"/>
        </w:rPr>
        <w:t>0.1</w:t>
      </w:r>
      <w:r>
        <w:rPr>
          <w:rFonts w:hint="eastAsia" w:ascii="仿宋_GB2312" w:hAnsi="Verdana"/>
          <w:szCs w:val="32"/>
        </w:rPr>
        <w:t>%。其中：一般公共预算</w:t>
      </w:r>
      <w:r>
        <w:rPr>
          <w:rFonts w:hint="eastAsia" w:ascii="仿宋_GB2312" w:hAnsi="Verdana"/>
          <w:szCs w:val="32"/>
          <w:lang w:val="en-US" w:eastAsia="zh-CN"/>
        </w:rPr>
        <w:t>1439.6</w:t>
      </w:r>
      <w:r>
        <w:rPr>
          <w:rFonts w:hint="eastAsia" w:ascii="仿宋_GB2312" w:hAnsi="Verdana"/>
          <w:szCs w:val="32"/>
        </w:rPr>
        <w:t>万元，减少</w:t>
      </w:r>
      <w:r>
        <w:rPr>
          <w:rFonts w:hint="eastAsia" w:ascii="仿宋_GB2312" w:hAnsi="Verdana"/>
          <w:szCs w:val="32"/>
          <w:lang w:val="en-US" w:eastAsia="zh-CN"/>
        </w:rPr>
        <w:t>1.9</w:t>
      </w:r>
      <w:r>
        <w:rPr>
          <w:rFonts w:hint="eastAsia" w:ascii="仿宋_GB2312" w:hAnsi="Verdana"/>
          <w:szCs w:val="32"/>
        </w:rPr>
        <w:t>万元，下降</w:t>
      </w:r>
      <w:r>
        <w:rPr>
          <w:rFonts w:hint="eastAsia" w:ascii="仿宋_GB2312" w:hAnsi="Verdana"/>
          <w:szCs w:val="32"/>
          <w:lang w:val="en-US" w:eastAsia="zh-CN"/>
        </w:rPr>
        <w:t>0.1</w:t>
      </w:r>
      <w:r>
        <w:rPr>
          <w:rFonts w:hint="eastAsia" w:ascii="仿宋_GB2312" w:hAnsi="Verdana"/>
          <w:szCs w:val="32"/>
        </w:rPr>
        <w:t>%；政府性基金预算0万元，减少0万元。具体安排情况如下：</w:t>
      </w:r>
    </w:p>
    <w:p w14:paraId="4CA7CDE1">
      <w:pPr>
        <w:spacing w:line="56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（一）因公出国（境）费。</w:t>
      </w:r>
      <w:r>
        <w:rPr>
          <w:rFonts w:hint="eastAsia" w:ascii="仿宋_GB2312" w:hAnsi="Verdana"/>
          <w:szCs w:val="32"/>
        </w:rPr>
        <w:t>因公出国（境）支出预算30万元，（其中：一般公共预算30万元）。</w:t>
      </w:r>
    </w:p>
    <w:p w14:paraId="0D734D4B">
      <w:pPr>
        <w:spacing w:line="560" w:lineRule="exact"/>
        <w:ind w:firstLine="632" w:firstLineChars="200"/>
        <w:rPr>
          <w:rFonts w:ascii="仿宋_GB2312" w:hAnsi="Verdana"/>
          <w:color w:val="auto"/>
          <w:szCs w:val="32"/>
        </w:rPr>
      </w:pPr>
      <w:r>
        <w:rPr>
          <w:rFonts w:hint="eastAsia" w:ascii="楷体_GB2312" w:hAnsi="楷体_GB2312" w:eastAsia="楷体_GB2312" w:cs="楷体_GB2312"/>
          <w:szCs w:val="32"/>
        </w:rPr>
        <w:t>（二）公务用车购置及运行费。</w:t>
      </w:r>
      <w:r>
        <w:rPr>
          <w:rFonts w:hint="eastAsia" w:ascii="仿宋_GB2312" w:hAnsi="仿宋_GB2312" w:cs="仿宋_GB2312"/>
          <w:szCs w:val="32"/>
        </w:rPr>
        <w:t>安排</w:t>
      </w:r>
      <w:r>
        <w:rPr>
          <w:rFonts w:hint="eastAsia" w:ascii="仿宋_GB2312" w:hAnsi="仿宋_GB2312" w:cs="仿宋_GB2312"/>
          <w:szCs w:val="32"/>
          <w:lang w:val="en-US" w:eastAsia="zh-CN"/>
        </w:rPr>
        <w:t>606.6</w:t>
      </w:r>
      <w:r>
        <w:rPr>
          <w:rFonts w:hint="eastAsia" w:ascii="仿宋_GB2312" w:hAnsi="仿宋_GB2312" w:cs="仿宋_GB2312"/>
          <w:szCs w:val="32"/>
        </w:rPr>
        <w:t>万元，减少</w:t>
      </w:r>
      <w:r>
        <w:rPr>
          <w:rFonts w:hint="eastAsia" w:ascii="仿宋_GB2312" w:hAnsi="仿宋_GB2312" w:cs="仿宋_GB2312"/>
          <w:szCs w:val="32"/>
          <w:lang w:val="en-US" w:eastAsia="zh-CN"/>
        </w:rPr>
        <w:t>0.6</w:t>
      </w:r>
      <w:r>
        <w:rPr>
          <w:rFonts w:hint="eastAsia" w:ascii="仿宋_GB2312" w:hAnsi="仿宋_GB2312" w:cs="仿宋_GB2312"/>
          <w:szCs w:val="32"/>
        </w:rPr>
        <w:t>万元，下降</w:t>
      </w:r>
      <w:r>
        <w:rPr>
          <w:rFonts w:hint="eastAsia" w:ascii="仿宋_GB2312" w:hAnsi="仿宋_GB2312" w:cs="仿宋_GB2312"/>
          <w:szCs w:val="32"/>
          <w:lang w:val="en-US" w:eastAsia="zh-CN"/>
        </w:rPr>
        <w:t>0.1%</w:t>
      </w:r>
      <w:r>
        <w:rPr>
          <w:rFonts w:hint="eastAsia" w:ascii="仿宋_GB2312" w:hAnsi="仿宋_GB2312" w:cs="仿宋_GB2312"/>
          <w:szCs w:val="32"/>
        </w:rPr>
        <w:t>。</w:t>
      </w:r>
      <w:r>
        <w:rPr>
          <w:rFonts w:hint="eastAsia" w:ascii="仿宋_GB2312" w:hAnsi="Verdana"/>
          <w:szCs w:val="32"/>
        </w:rPr>
        <w:t>其中：公务用车购置费</w:t>
      </w:r>
      <w:r>
        <w:rPr>
          <w:rFonts w:hint="eastAsia" w:ascii="仿宋_GB2312" w:hAnsi="Verdana"/>
          <w:szCs w:val="32"/>
          <w:lang w:val="en-US" w:eastAsia="zh-CN"/>
        </w:rPr>
        <w:t>126</w:t>
      </w:r>
      <w:r>
        <w:rPr>
          <w:rFonts w:hint="eastAsia" w:ascii="仿宋_GB2312" w:hAnsi="Verdana"/>
          <w:szCs w:val="32"/>
        </w:rPr>
        <w:t>万元，</w:t>
      </w:r>
      <w:r>
        <w:rPr>
          <w:rFonts w:hint="eastAsia" w:ascii="仿宋_GB2312" w:hAnsi="Verdana"/>
          <w:szCs w:val="32"/>
          <w:lang w:eastAsia="zh-CN"/>
        </w:rPr>
        <w:t>与</w:t>
      </w:r>
      <w:r>
        <w:rPr>
          <w:rFonts w:hint="eastAsia" w:ascii="仿宋_GB2312" w:hAnsi="Verdana"/>
          <w:szCs w:val="32"/>
        </w:rPr>
        <w:t>上年预算</w:t>
      </w:r>
      <w:r>
        <w:rPr>
          <w:rFonts w:hint="eastAsia" w:ascii="仿宋_GB2312" w:hAnsi="Verdana"/>
          <w:szCs w:val="32"/>
          <w:lang w:val="en-US" w:eastAsia="zh-CN"/>
        </w:rPr>
        <w:t>持平</w:t>
      </w:r>
      <w:r>
        <w:rPr>
          <w:rFonts w:hint="eastAsia" w:ascii="仿宋_GB2312" w:hAnsi="Verdana"/>
          <w:szCs w:val="32"/>
        </w:rPr>
        <w:t>，公务用车运行维护费</w:t>
      </w:r>
      <w:r>
        <w:rPr>
          <w:rFonts w:hint="eastAsia" w:ascii="仿宋_GB2312" w:hAnsi="Verdana"/>
          <w:szCs w:val="32"/>
          <w:lang w:val="en-US" w:eastAsia="zh-CN"/>
        </w:rPr>
        <w:t>480.6</w:t>
      </w:r>
      <w:r>
        <w:rPr>
          <w:rFonts w:hint="eastAsia" w:ascii="仿宋_GB2312" w:hAnsi="Verdana"/>
          <w:szCs w:val="32"/>
        </w:rPr>
        <w:t>万元,比上年预算减少</w:t>
      </w:r>
      <w:r>
        <w:rPr>
          <w:rFonts w:hint="eastAsia" w:ascii="仿宋_GB2312" w:hAnsi="Verdana"/>
          <w:szCs w:val="32"/>
          <w:lang w:val="en-US" w:eastAsia="zh-CN"/>
        </w:rPr>
        <w:t>0.6</w:t>
      </w:r>
      <w:r>
        <w:rPr>
          <w:rFonts w:hint="eastAsia" w:ascii="仿宋_GB2312" w:hAnsi="Verdana"/>
          <w:szCs w:val="32"/>
        </w:rPr>
        <w:t>万元，下降</w:t>
      </w:r>
      <w:r>
        <w:rPr>
          <w:rFonts w:hint="eastAsia" w:ascii="仿宋_GB2312" w:hAnsi="Verdana"/>
          <w:color w:val="auto"/>
          <w:szCs w:val="32"/>
          <w:lang w:val="en-US" w:eastAsia="zh-CN"/>
        </w:rPr>
        <w:t>0.1</w:t>
      </w:r>
      <w:r>
        <w:rPr>
          <w:rFonts w:hint="eastAsia" w:ascii="仿宋_GB2312" w:hAnsi="Verdana"/>
          <w:color w:val="auto"/>
          <w:szCs w:val="32"/>
        </w:rPr>
        <w:t>%。</w:t>
      </w:r>
    </w:p>
    <w:p w14:paraId="681F8EDA">
      <w:pPr>
        <w:spacing w:line="560" w:lineRule="exact"/>
        <w:ind w:firstLine="632" w:firstLineChars="200"/>
        <w:rPr>
          <w:rFonts w:ascii="仿宋_GB2312" w:hAnsi="Verdana"/>
          <w:szCs w:val="32"/>
        </w:rPr>
      </w:pPr>
      <w:r>
        <w:rPr>
          <w:rFonts w:hint="eastAsia" w:ascii="楷体_GB2312" w:hAnsi="楷体_GB2312" w:eastAsia="楷体_GB2312" w:cs="楷体_GB2312"/>
          <w:szCs w:val="32"/>
        </w:rPr>
        <w:t>（三）公务接待费。</w:t>
      </w:r>
      <w:r>
        <w:rPr>
          <w:rFonts w:hint="eastAsia" w:ascii="仿宋_GB2312" w:hAnsi="Verdana"/>
          <w:szCs w:val="32"/>
        </w:rPr>
        <w:t>安排</w:t>
      </w:r>
      <w:r>
        <w:rPr>
          <w:rFonts w:hint="eastAsia" w:ascii="仿宋_GB2312" w:hAnsi="Verdana"/>
          <w:szCs w:val="32"/>
          <w:lang w:val="en-US" w:eastAsia="zh-CN"/>
        </w:rPr>
        <w:t>803</w:t>
      </w:r>
      <w:r>
        <w:rPr>
          <w:rFonts w:hint="eastAsia" w:ascii="仿宋_GB2312" w:hAnsi="Verdana"/>
          <w:szCs w:val="32"/>
        </w:rPr>
        <w:t>万元，比上年预算减少</w:t>
      </w:r>
      <w:r>
        <w:rPr>
          <w:rFonts w:hint="eastAsia" w:ascii="仿宋_GB2312" w:hAnsi="Verdana"/>
          <w:szCs w:val="32"/>
          <w:lang w:val="en-US" w:eastAsia="zh-CN"/>
        </w:rPr>
        <w:t>1.3</w:t>
      </w:r>
      <w:r>
        <w:rPr>
          <w:rFonts w:hint="eastAsia" w:ascii="仿宋_GB2312" w:hAnsi="Verdana"/>
          <w:szCs w:val="32"/>
        </w:rPr>
        <w:t>万元，下降</w:t>
      </w:r>
      <w:r>
        <w:rPr>
          <w:rFonts w:hint="eastAsia" w:ascii="仿宋_GB2312" w:hAnsi="Verdana"/>
          <w:szCs w:val="32"/>
          <w:lang w:val="en-US" w:eastAsia="zh-CN"/>
        </w:rPr>
        <w:t>0.2</w:t>
      </w:r>
      <w:r>
        <w:rPr>
          <w:rFonts w:hint="eastAsia" w:ascii="仿宋_GB2312" w:hAnsi="Verdana"/>
          <w:szCs w:val="32"/>
        </w:rPr>
        <w:t>%。（主要是落实中央八项规定，进一步落实厉行节俭各项措施，严格控制三公经费支出）。</w:t>
      </w:r>
    </w:p>
    <w:p w14:paraId="0A0B1C0C">
      <w:pPr>
        <w:rPr>
          <w:rFonts w:hint="eastAsia" w:ascii="黑体" w:hAnsi="黑体" w:eastAsia="黑体" w:cs="黑体"/>
          <w:color w:val="auto"/>
          <w:sz w:val="36"/>
          <w:szCs w:val="36"/>
        </w:rPr>
      </w:pPr>
      <w:r>
        <w:rPr>
          <w:rFonts w:hint="eastAsia" w:ascii="黑体" w:hAnsi="黑体" w:eastAsia="黑体" w:cs="黑体"/>
          <w:color w:val="auto"/>
          <w:sz w:val="36"/>
          <w:szCs w:val="36"/>
        </w:rPr>
        <w:br w:type="page"/>
      </w:r>
    </w:p>
    <w:p w14:paraId="2962AE59">
      <w:pPr>
        <w:spacing w:line="560" w:lineRule="exact"/>
        <w:jc w:val="left"/>
        <w:rPr>
          <w:rFonts w:ascii="黑体" w:hAnsi="黑体" w:eastAsia="黑体" w:cs="黑体"/>
          <w:color w:val="auto"/>
          <w:sz w:val="36"/>
          <w:szCs w:val="36"/>
        </w:rPr>
      </w:pPr>
      <w:r>
        <w:rPr>
          <w:rFonts w:hint="eastAsia" w:ascii="黑体" w:hAnsi="黑体" w:eastAsia="黑体" w:cs="黑体"/>
          <w:color w:val="auto"/>
          <w:sz w:val="36"/>
          <w:szCs w:val="36"/>
        </w:rPr>
        <w:t>二、202</w:t>
      </w:r>
      <w:r>
        <w:rPr>
          <w:rFonts w:hint="eastAsia" w:ascii="黑体" w:hAnsi="黑体" w:eastAsia="黑体" w:cs="黑体"/>
          <w:color w:val="auto"/>
          <w:sz w:val="36"/>
          <w:szCs w:val="36"/>
          <w:lang w:val="en-US" w:eastAsia="zh-CN"/>
        </w:rPr>
        <w:t>4</w:t>
      </w:r>
      <w:r>
        <w:rPr>
          <w:rFonts w:hint="eastAsia" w:ascii="黑体" w:hAnsi="黑体" w:eastAsia="黑体" w:cs="黑体"/>
          <w:color w:val="auto"/>
          <w:sz w:val="36"/>
          <w:szCs w:val="36"/>
        </w:rPr>
        <w:t>政府债务情况及202</w:t>
      </w:r>
      <w:r>
        <w:rPr>
          <w:rFonts w:hint="eastAsia" w:ascii="黑体" w:hAnsi="黑体" w:eastAsia="黑体" w:cs="黑体"/>
          <w:color w:val="auto"/>
          <w:sz w:val="36"/>
          <w:szCs w:val="36"/>
          <w:lang w:val="en-US" w:eastAsia="zh-CN"/>
        </w:rPr>
        <w:t>5</w:t>
      </w:r>
      <w:r>
        <w:rPr>
          <w:rFonts w:hint="eastAsia" w:ascii="黑体" w:hAnsi="黑体" w:eastAsia="黑体" w:cs="黑体"/>
          <w:color w:val="auto"/>
          <w:sz w:val="36"/>
          <w:szCs w:val="36"/>
        </w:rPr>
        <w:t>年债务预算情况说明</w:t>
      </w:r>
    </w:p>
    <w:p w14:paraId="302FE1E8">
      <w:pPr>
        <w:spacing w:line="560" w:lineRule="exact"/>
        <w:ind w:firstLine="632" w:firstLineChars="200"/>
        <w:rPr>
          <w:rFonts w:hint="eastAsia" w:ascii="仿宋_GB2312" w:hAnsi="Verdana"/>
          <w:szCs w:val="32"/>
        </w:rPr>
      </w:pPr>
      <w:r>
        <w:rPr>
          <w:rFonts w:hint="eastAsia" w:ascii="仿宋_GB2312" w:hAnsi="Verdana"/>
          <w:szCs w:val="32"/>
        </w:rPr>
        <w:t>（一）202</w:t>
      </w:r>
      <w:r>
        <w:rPr>
          <w:rFonts w:hint="eastAsia" w:ascii="仿宋_GB2312" w:hAnsi="Verdana"/>
          <w:szCs w:val="32"/>
          <w:lang w:val="en-US" w:eastAsia="zh-CN"/>
        </w:rPr>
        <w:t>4</w:t>
      </w:r>
      <w:r>
        <w:rPr>
          <w:rFonts w:hint="eastAsia" w:ascii="仿宋_GB2312" w:hAnsi="Verdana"/>
          <w:szCs w:val="32"/>
        </w:rPr>
        <w:t>年政府债务管理情况</w:t>
      </w:r>
    </w:p>
    <w:p w14:paraId="49EB9971">
      <w:pPr>
        <w:spacing w:line="560" w:lineRule="exact"/>
        <w:ind w:firstLine="632" w:firstLineChars="200"/>
        <w:rPr>
          <w:rFonts w:hint="eastAsia" w:ascii="仿宋_GB2312" w:hAnsi="Verdana"/>
          <w:szCs w:val="32"/>
        </w:rPr>
      </w:pPr>
      <w:r>
        <w:rPr>
          <w:rFonts w:hint="eastAsia" w:ascii="仿宋_GB2312" w:hAnsi="Verdana"/>
          <w:szCs w:val="32"/>
        </w:rPr>
        <w:t>截至202</w:t>
      </w:r>
      <w:r>
        <w:rPr>
          <w:rFonts w:hint="eastAsia" w:ascii="仿宋_GB2312" w:hAnsi="Verdana"/>
          <w:szCs w:val="32"/>
          <w:lang w:val="en-US" w:eastAsia="zh-CN"/>
        </w:rPr>
        <w:t>4</w:t>
      </w:r>
      <w:r>
        <w:rPr>
          <w:rFonts w:hint="eastAsia" w:ascii="仿宋_GB2312" w:hAnsi="Verdana"/>
          <w:szCs w:val="32"/>
        </w:rPr>
        <w:t>年底，我县地方政府债务余额为</w:t>
      </w:r>
      <w:r>
        <w:rPr>
          <w:rFonts w:hint="eastAsia" w:ascii="仿宋_GB2312" w:hAnsi="Verdana"/>
          <w:szCs w:val="32"/>
          <w:lang w:val="en-US" w:eastAsia="zh-CN"/>
        </w:rPr>
        <w:t>99.61</w:t>
      </w:r>
      <w:r>
        <w:rPr>
          <w:rFonts w:hint="eastAsia" w:ascii="仿宋_GB2312" w:hAnsi="Verdana"/>
          <w:szCs w:val="32"/>
        </w:rPr>
        <w:t>亿元。其中一般债务</w:t>
      </w:r>
      <w:r>
        <w:rPr>
          <w:rFonts w:hint="eastAsia" w:ascii="仿宋_GB2312" w:hAnsi="Verdana"/>
          <w:szCs w:val="32"/>
          <w:lang w:val="en-US" w:eastAsia="zh-CN"/>
        </w:rPr>
        <w:t>23.12</w:t>
      </w:r>
      <w:r>
        <w:rPr>
          <w:rFonts w:hint="eastAsia" w:ascii="仿宋_GB2312" w:hAnsi="Verdana"/>
          <w:szCs w:val="32"/>
        </w:rPr>
        <w:t>亿元，专项债务</w:t>
      </w:r>
      <w:r>
        <w:rPr>
          <w:rFonts w:hint="eastAsia" w:ascii="仿宋_GB2312" w:hAnsi="Verdana"/>
          <w:szCs w:val="32"/>
          <w:lang w:val="en-US" w:eastAsia="zh-CN"/>
        </w:rPr>
        <w:t>76.49</w:t>
      </w:r>
      <w:r>
        <w:rPr>
          <w:rFonts w:hint="eastAsia" w:ascii="仿宋_GB2312" w:hAnsi="Verdana"/>
          <w:szCs w:val="32"/>
        </w:rPr>
        <w:t>亿元。</w:t>
      </w:r>
    </w:p>
    <w:p w14:paraId="09D526BC">
      <w:pPr>
        <w:spacing w:line="560" w:lineRule="exact"/>
        <w:ind w:firstLine="632" w:firstLineChars="200"/>
        <w:rPr>
          <w:rFonts w:hint="eastAsia" w:ascii="仿宋_GB2312" w:hAnsi="Verdana"/>
          <w:szCs w:val="32"/>
        </w:rPr>
      </w:pPr>
      <w:r>
        <w:rPr>
          <w:rFonts w:hint="eastAsia" w:ascii="仿宋_GB2312" w:hAnsi="Verdana"/>
          <w:szCs w:val="32"/>
        </w:rPr>
        <w:t>1.当年收支情况</w:t>
      </w:r>
    </w:p>
    <w:p w14:paraId="637E1F23">
      <w:pPr>
        <w:spacing w:line="560" w:lineRule="exact"/>
        <w:ind w:firstLine="632" w:firstLineChars="200"/>
        <w:rPr>
          <w:rFonts w:hint="eastAsia" w:ascii="仿宋_GB2312" w:hAnsi="Verdana"/>
          <w:szCs w:val="32"/>
        </w:rPr>
      </w:pPr>
      <w:r>
        <w:rPr>
          <w:rFonts w:hint="eastAsia" w:ascii="仿宋_GB2312" w:hAnsi="Verdana"/>
          <w:szCs w:val="32"/>
        </w:rPr>
        <w:t>202</w:t>
      </w:r>
      <w:r>
        <w:rPr>
          <w:rFonts w:hint="eastAsia" w:ascii="仿宋_GB2312" w:hAnsi="Verdana"/>
          <w:szCs w:val="32"/>
          <w:lang w:val="en-US" w:eastAsia="zh-CN"/>
        </w:rPr>
        <w:t>4</w:t>
      </w:r>
      <w:r>
        <w:rPr>
          <w:rFonts w:hint="eastAsia" w:ascii="仿宋_GB2312" w:hAnsi="Verdana"/>
          <w:szCs w:val="32"/>
        </w:rPr>
        <w:t>年共发行政府新增债券</w:t>
      </w:r>
      <w:r>
        <w:rPr>
          <w:rFonts w:hint="eastAsia" w:ascii="仿宋_GB2312" w:hAnsi="Verdana"/>
          <w:szCs w:val="32"/>
          <w:lang w:val="en-US" w:eastAsia="zh-CN"/>
        </w:rPr>
        <w:t>7.02</w:t>
      </w:r>
      <w:r>
        <w:rPr>
          <w:rFonts w:hint="eastAsia" w:ascii="仿宋_GB2312" w:hAnsi="Verdana"/>
          <w:szCs w:val="32"/>
        </w:rPr>
        <w:t>亿元，其中一般债券</w:t>
      </w:r>
      <w:r>
        <w:rPr>
          <w:rFonts w:hint="eastAsia" w:ascii="仿宋_GB2312" w:hAnsi="Verdana"/>
          <w:szCs w:val="32"/>
          <w:lang w:val="en-US" w:eastAsia="zh-CN"/>
        </w:rPr>
        <w:t>1.12</w:t>
      </w:r>
      <w:r>
        <w:rPr>
          <w:rFonts w:hint="eastAsia" w:ascii="仿宋_GB2312" w:hAnsi="Verdana"/>
          <w:szCs w:val="32"/>
        </w:rPr>
        <w:t>亿元，专项债券</w:t>
      </w:r>
      <w:r>
        <w:rPr>
          <w:rFonts w:hint="eastAsia" w:ascii="仿宋_GB2312" w:hAnsi="Verdana"/>
          <w:szCs w:val="32"/>
          <w:lang w:val="en-US" w:eastAsia="zh-CN"/>
        </w:rPr>
        <w:t>5.9</w:t>
      </w:r>
      <w:r>
        <w:rPr>
          <w:rFonts w:hint="eastAsia" w:ascii="仿宋_GB2312" w:hAnsi="Verdana"/>
          <w:szCs w:val="32"/>
        </w:rPr>
        <w:t>亿元。</w:t>
      </w:r>
    </w:p>
    <w:p w14:paraId="1C751FFC">
      <w:pPr>
        <w:spacing w:line="560" w:lineRule="exact"/>
        <w:ind w:firstLine="632" w:firstLineChars="200"/>
        <w:rPr>
          <w:rFonts w:hint="eastAsia" w:ascii="仿宋_GB2312" w:hAnsi="Verdana"/>
          <w:szCs w:val="32"/>
        </w:rPr>
      </w:pPr>
      <w:r>
        <w:rPr>
          <w:rFonts w:hint="eastAsia" w:ascii="仿宋_GB2312" w:hAnsi="Verdana"/>
          <w:szCs w:val="32"/>
        </w:rPr>
        <w:t>当年债券还本6.</w:t>
      </w:r>
      <w:r>
        <w:rPr>
          <w:rFonts w:hint="eastAsia" w:ascii="仿宋_GB2312" w:hAnsi="Verdana"/>
          <w:szCs w:val="32"/>
          <w:lang w:val="en-US" w:eastAsia="zh-CN"/>
        </w:rPr>
        <w:t>578</w:t>
      </w:r>
      <w:r>
        <w:rPr>
          <w:rFonts w:hint="eastAsia" w:ascii="仿宋_GB2312" w:hAnsi="Verdana"/>
          <w:szCs w:val="32"/>
        </w:rPr>
        <w:t>亿元，其中一般债券</w:t>
      </w:r>
      <w:r>
        <w:rPr>
          <w:rFonts w:hint="eastAsia" w:ascii="仿宋_GB2312" w:hAnsi="Verdana"/>
          <w:szCs w:val="32"/>
          <w:lang w:val="en-US" w:eastAsia="zh-CN"/>
        </w:rPr>
        <w:t>0.598</w:t>
      </w:r>
      <w:r>
        <w:rPr>
          <w:rFonts w:hint="eastAsia" w:ascii="仿宋_GB2312" w:hAnsi="Verdana"/>
          <w:szCs w:val="32"/>
        </w:rPr>
        <w:t>亿元，专项债券</w:t>
      </w:r>
      <w:r>
        <w:rPr>
          <w:rFonts w:hint="eastAsia" w:ascii="仿宋_GB2312" w:hAnsi="Verdana"/>
          <w:szCs w:val="32"/>
          <w:lang w:val="en-US" w:eastAsia="zh-CN"/>
        </w:rPr>
        <w:t>5.98</w:t>
      </w:r>
      <w:r>
        <w:rPr>
          <w:rFonts w:hint="eastAsia" w:ascii="仿宋_GB2312" w:hAnsi="Verdana"/>
          <w:szCs w:val="32"/>
        </w:rPr>
        <w:t>亿元。</w:t>
      </w:r>
    </w:p>
    <w:p w14:paraId="5F612634">
      <w:pPr>
        <w:spacing w:line="560" w:lineRule="exact"/>
        <w:ind w:firstLine="632" w:firstLineChars="200"/>
        <w:rPr>
          <w:rFonts w:hint="eastAsia" w:ascii="仿宋_GB2312" w:hAnsi="Verdana"/>
          <w:szCs w:val="32"/>
        </w:rPr>
      </w:pPr>
      <w:r>
        <w:rPr>
          <w:rFonts w:hint="eastAsia" w:ascii="仿宋_GB2312" w:hAnsi="Verdana"/>
          <w:szCs w:val="32"/>
        </w:rPr>
        <w:t>当年债券付息</w:t>
      </w:r>
      <w:r>
        <w:rPr>
          <w:rFonts w:hint="eastAsia" w:ascii="仿宋_GB2312" w:hAnsi="Verdana"/>
          <w:szCs w:val="32"/>
          <w:lang w:val="en-US" w:eastAsia="zh-CN"/>
        </w:rPr>
        <w:t>3.174</w:t>
      </w:r>
      <w:r>
        <w:rPr>
          <w:rFonts w:hint="eastAsia" w:ascii="仿宋_GB2312" w:hAnsi="Verdana"/>
          <w:szCs w:val="32"/>
        </w:rPr>
        <w:t>亿元，其中一般债券</w:t>
      </w:r>
      <w:r>
        <w:rPr>
          <w:rFonts w:hint="eastAsia" w:ascii="仿宋_GB2312" w:hAnsi="Verdana"/>
          <w:szCs w:val="32"/>
          <w:lang w:val="en-US" w:eastAsia="zh-CN"/>
        </w:rPr>
        <w:t>0.806</w:t>
      </w:r>
      <w:r>
        <w:rPr>
          <w:rFonts w:hint="eastAsia" w:ascii="仿宋_GB2312" w:hAnsi="Verdana"/>
          <w:szCs w:val="32"/>
        </w:rPr>
        <w:t>亿元，专项债券</w:t>
      </w:r>
      <w:r>
        <w:rPr>
          <w:rFonts w:hint="eastAsia" w:ascii="仿宋_GB2312" w:hAnsi="Verdana"/>
          <w:szCs w:val="32"/>
          <w:lang w:val="en-US" w:eastAsia="zh-CN"/>
        </w:rPr>
        <w:t>2.368</w:t>
      </w:r>
      <w:r>
        <w:rPr>
          <w:rFonts w:hint="eastAsia" w:ascii="仿宋_GB2312" w:hAnsi="Verdana"/>
          <w:szCs w:val="32"/>
        </w:rPr>
        <w:t>亿元。</w:t>
      </w:r>
    </w:p>
    <w:p w14:paraId="2E70E344">
      <w:pPr>
        <w:spacing w:line="560" w:lineRule="exact"/>
        <w:ind w:firstLine="632" w:firstLineChars="200"/>
        <w:rPr>
          <w:rFonts w:hint="eastAsia" w:ascii="仿宋_GB2312" w:hAnsi="Verdana"/>
          <w:szCs w:val="32"/>
        </w:rPr>
      </w:pPr>
      <w:r>
        <w:rPr>
          <w:rFonts w:hint="eastAsia" w:ascii="仿宋_GB2312" w:hAnsi="Verdana"/>
          <w:szCs w:val="32"/>
        </w:rPr>
        <w:t>2.地方政府债券支出使用情况</w:t>
      </w:r>
    </w:p>
    <w:p w14:paraId="7937BDB0">
      <w:pPr>
        <w:spacing w:line="560" w:lineRule="exact"/>
        <w:ind w:firstLine="632" w:firstLineChars="200"/>
        <w:rPr>
          <w:rFonts w:hint="eastAsia" w:ascii="仿宋_GB2312" w:hAnsi="Verdana"/>
          <w:szCs w:val="32"/>
        </w:rPr>
      </w:pPr>
      <w:r>
        <w:rPr>
          <w:rFonts w:hint="eastAsia" w:ascii="仿宋_GB2312" w:hAnsi="Verdana"/>
          <w:szCs w:val="32"/>
        </w:rPr>
        <w:t>我县所有债券财政拨付进度均达到100%，无债券资金结转结余在财政情况发生。</w:t>
      </w:r>
    </w:p>
    <w:p w14:paraId="6DC6F602">
      <w:pPr>
        <w:spacing w:line="560" w:lineRule="exact"/>
        <w:ind w:firstLine="632" w:firstLineChars="200"/>
        <w:rPr>
          <w:rFonts w:hint="eastAsia" w:ascii="仿宋_GB2312" w:hAnsi="Verdana"/>
          <w:szCs w:val="32"/>
        </w:rPr>
      </w:pPr>
      <w:r>
        <w:rPr>
          <w:rFonts w:hint="eastAsia" w:ascii="仿宋_GB2312" w:hAnsi="Verdana"/>
          <w:szCs w:val="32"/>
        </w:rPr>
        <w:t>（二）202</w:t>
      </w:r>
      <w:r>
        <w:rPr>
          <w:rFonts w:hint="eastAsia" w:ascii="仿宋_GB2312" w:hAnsi="Verdana"/>
          <w:szCs w:val="32"/>
          <w:lang w:val="en-US" w:eastAsia="zh-CN"/>
        </w:rPr>
        <w:t>5</w:t>
      </w:r>
      <w:r>
        <w:rPr>
          <w:rFonts w:hint="eastAsia" w:ascii="仿宋_GB2312" w:hAnsi="Verdana"/>
          <w:szCs w:val="32"/>
        </w:rPr>
        <w:t>年债务预算情况</w:t>
      </w:r>
    </w:p>
    <w:p w14:paraId="5CA05AB2">
      <w:pPr>
        <w:spacing w:line="560" w:lineRule="exact"/>
        <w:ind w:firstLine="632" w:firstLineChars="200"/>
        <w:rPr>
          <w:rFonts w:hint="eastAsia" w:ascii="仿宋_GB2312" w:hAnsi="Verdana"/>
          <w:szCs w:val="32"/>
        </w:rPr>
      </w:pPr>
      <w:r>
        <w:rPr>
          <w:rFonts w:hint="eastAsia" w:ascii="仿宋_GB2312" w:hAnsi="Verdana"/>
          <w:szCs w:val="32"/>
        </w:rPr>
        <w:t>根据省财政厅地方政府债券管理系统数据，以202</w:t>
      </w:r>
      <w:r>
        <w:rPr>
          <w:rFonts w:hint="eastAsia" w:ascii="仿宋_GB2312" w:hAnsi="Verdana"/>
          <w:szCs w:val="32"/>
          <w:lang w:val="en-US" w:eastAsia="zh-CN"/>
        </w:rPr>
        <w:t>4</w:t>
      </w:r>
      <w:r>
        <w:rPr>
          <w:rFonts w:hint="eastAsia" w:ascii="仿宋_GB2312" w:hAnsi="Verdana"/>
          <w:szCs w:val="32"/>
        </w:rPr>
        <w:t>年地方政府债券付息额为基数，各项预算如下：</w:t>
      </w:r>
    </w:p>
    <w:p w14:paraId="1BD02D35">
      <w:pPr>
        <w:spacing w:line="560" w:lineRule="exact"/>
        <w:ind w:firstLine="632" w:firstLineChars="200"/>
        <w:rPr>
          <w:rFonts w:hint="eastAsia" w:ascii="仿宋_GB2312" w:hAnsi="Verdana"/>
          <w:szCs w:val="32"/>
        </w:rPr>
      </w:pPr>
      <w:r>
        <w:rPr>
          <w:rFonts w:hint="eastAsia" w:ascii="仿宋_GB2312" w:hAnsi="Verdana"/>
          <w:szCs w:val="32"/>
        </w:rPr>
        <w:t>202</w:t>
      </w:r>
      <w:r>
        <w:rPr>
          <w:rFonts w:hint="eastAsia" w:ascii="仿宋_GB2312" w:hAnsi="Verdana"/>
          <w:szCs w:val="32"/>
          <w:lang w:val="en-US" w:eastAsia="zh-CN"/>
        </w:rPr>
        <w:t>5</w:t>
      </w:r>
      <w:r>
        <w:rPr>
          <w:rFonts w:hint="eastAsia" w:ascii="仿宋_GB2312" w:hAnsi="Verdana"/>
          <w:szCs w:val="32"/>
        </w:rPr>
        <w:t>年政府债券还本预算</w:t>
      </w:r>
      <w:r>
        <w:rPr>
          <w:rFonts w:hint="eastAsia" w:ascii="仿宋_GB2312" w:hAnsi="Verdana"/>
          <w:szCs w:val="32"/>
          <w:lang w:val="en-US" w:eastAsia="zh-CN"/>
        </w:rPr>
        <w:t>3.643</w:t>
      </w:r>
      <w:r>
        <w:rPr>
          <w:rFonts w:hint="eastAsia" w:ascii="仿宋_GB2312" w:hAnsi="Verdana"/>
          <w:szCs w:val="32"/>
        </w:rPr>
        <w:t>亿元，其中一般债券</w:t>
      </w:r>
      <w:r>
        <w:rPr>
          <w:rFonts w:hint="eastAsia" w:ascii="仿宋_GB2312" w:hAnsi="Verdana"/>
          <w:szCs w:val="32"/>
          <w:lang w:val="en-US" w:eastAsia="zh-CN"/>
        </w:rPr>
        <w:t>0.648</w:t>
      </w:r>
      <w:r>
        <w:rPr>
          <w:rFonts w:hint="eastAsia" w:ascii="仿宋_GB2312" w:hAnsi="Verdana"/>
          <w:szCs w:val="32"/>
        </w:rPr>
        <w:t>亿元，专项债券</w:t>
      </w:r>
      <w:r>
        <w:rPr>
          <w:rFonts w:hint="eastAsia" w:ascii="仿宋_GB2312" w:hAnsi="Verdana"/>
          <w:szCs w:val="32"/>
          <w:lang w:val="en-US" w:eastAsia="zh-CN"/>
        </w:rPr>
        <w:t>2.995</w:t>
      </w:r>
      <w:r>
        <w:rPr>
          <w:rFonts w:hint="eastAsia" w:ascii="仿宋_GB2312" w:hAnsi="Verdana"/>
          <w:szCs w:val="32"/>
        </w:rPr>
        <w:t>亿元。</w:t>
      </w:r>
    </w:p>
    <w:p w14:paraId="7698466E">
      <w:pPr>
        <w:spacing w:line="560" w:lineRule="exact"/>
        <w:ind w:firstLine="632" w:firstLineChars="200"/>
        <w:rPr>
          <w:rFonts w:hint="eastAsia" w:ascii="仿宋_GB2312" w:hAnsi="Verdana"/>
          <w:szCs w:val="32"/>
        </w:rPr>
      </w:pPr>
      <w:r>
        <w:rPr>
          <w:rFonts w:hint="eastAsia" w:ascii="仿宋_GB2312" w:hAnsi="Verdana"/>
          <w:szCs w:val="32"/>
        </w:rPr>
        <w:t>202</w:t>
      </w:r>
      <w:r>
        <w:rPr>
          <w:rFonts w:hint="eastAsia" w:ascii="仿宋_GB2312" w:hAnsi="Verdana"/>
          <w:szCs w:val="32"/>
          <w:lang w:val="en-US" w:eastAsia="zh-CN"/>
        </w:rPr>
        <w:t>5</w:t>
      </w:r>
      <w:r>
        <w:rPr>
          <w:rFonts w:hint="eastAsia" w:ascii="仿宋_GB2312" w:hAnsi="Verdana"/>
          <w:szCs w:val="32"/>
        </w:rPr>
        <w:t>年政府债券付息预算</w:t>
      </w:r>
      <w:r>
        <w:rPr>
          <w:rFonts w:hint="eastAsia" w:ascii="仿宋_GB2312" w:hAnsi="Verdana"/>
          <w:szCs w:val="32"/>
          <w:lang w:val="en-US" w:eastAsia="zh-CN"/>
        </w:rPr>
        <w:t>3.75</w:t>
      </w:r>
      <w:r>
        <w:rPr>
          <w:rFonts w:hint="eastAsia" w:ascii="仿宋_GB2312" w:hAnsi="Verdana"/>
          <w:szCs w:val="32"/>
        </w:rPr>
        <w:t>亿元，其中一般债券</w:t>
      </w:r>
      <w:r>
        <w:rPr>
          <w:rFonts w:hint="eastAsia" w:ascii="仿宋_GB2312" w:hAnsi="Verdana"/>
          <w:szCs w:val="32"/>
          <w:lang w:val="en-US" w:eastAsia="zh-CN"/>
        </w:rPr>
        <w:t>0.9</w:t>
      </w:r>
      <w:r>
        <w:rPr>
          <w:rFonts w:hint="eastAsia" w:ascii="仿宋_GB2312" w:hAnsi="Verdana"/>
          <w:szCs w:val="32"/>
        </w:rPr>
        <w:t>亿元，专项债券</w:t>
      </w:r>
      <w:r>
        <w:rPr>
          <w:rFonts w:hint="eastAsia" w:ascii="仿宋_GB2312" w:hAnsi="Verdana"/>
          <w:szCs w:val="32"/>
          <w:lang w:val="en-US" w:eastAsia="zh-CN"/>
        </w:rPr>
        <w:t>2.85</w:t>
      </w:r>
      <w:r>
        <w:rPr>
          <w:rFonts w:hint="eastAsia" w:ascii="仿宋_GB2312" w:hAnsi="Verdana"/>
          <w:szCs w:val="32"/>
        </w:rPr>
        <w:t>亿元。</w:t>
      </w:r>
    </w:p>
    <w:p w14:paraId="3CCACDA1">
      <w:pPr>
        <w:spacing w:line="560" w:lineRule="exact"/>
        <w:ind w:firstLine="632" w:firstLineChars="200"/>
        <w:rPr>
          <w:rFonts w:hint="eastAsia" w:ascii="仿宋_GB2312" w:hAnsi="Verdana"/>
          <w:szCs w:val="32"/>
        </w:rPr>
      </w:pPr>
    </w:p>
    <w:p w14:paraId="57FED032">
      <w:pP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br w:type="page"/>
      </w:r>
    </w:p>
    <w:p w14:paraId="076425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三、财政转移支付安排情况</w:t>
      </w:r>
    </w:p>
    <w:p w14:paraId="535D6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20</w:t>
      </w:r>
      <w:r>
        <w:rPr>
          <w:rFonts w:hint="eastAsia" w:ascii="仿宋_GB2312" w:hAnsi="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eastAsia="zh-CN"/>
        </w:rPr>
        <w:t>年财政转移支付</w:t>
      </w:r>
      <w:r>
        <w:rPr>
          <w:rFonts w:hint="eastAsia" w:ascii="仿宋_GB2312" w:hAnsi="仿宋_GB2312" w:cs="仿宋_GB2312"/>
          <w:sz w:val="32"/>
          <w:szCs w:val="32"/>
          <w:highlight w:val="none"/>
          <w:lang w:eastAsia="zh-CN"/>
        </w:rPr>
        <w:t>收入</w:t>
      </w:r>
      <w:r>
        <w:rPr>
          <w:rFonts w:hint="eastAsia" w:ascii="仿宋_GB2312" w:hAnsi="仿宋_GB2312" w:eastAsia="仿宋_GB2312" w:cs="仿宋_GB2312"/>
          <w:sz w:val="32"/>
          <w:szCs w:val="32"/>
          <w:highlight w:val="none"/>
          <w:lang w:eastAsia="zh-CN"/>
        </w:rPr>
        <w:t>安排</w:t>
      </w:r>
      <w:r>
        <w:rPr>
          <w:rFonts w:hint="eastAsia" w:ascii="仿宋_GB2312" w:hAnsi="仿宋_GB2312" w:cs="仿宋_GB2312"/>
          <w:sz w:val="32"/>
          <w:szCs w:val="32"/>
          <w:highlight w:val="none"/>
          <w:lang w:val="en-US" w:eastAsia="zh-CN"/>
        </w:rPr>
        <w:t>136646</w:t>
      </w:r>
      <w:r>
        <w:rPr>
          <w:rFonts w:hint="eastAsia" w:ascii="仿宋_GB2312" w:hAnsi="仿宋_GB2312" w:cs="仿宋_GB2312"/>
          <w:sz w:val="32"/>
          <w:szCs w:val="32"/>
          <w:highlight w:val="none"/>
          <w:lang w:eastAsia="zh-CN"/>
        </w:rPr>
        <w:t>万</w:t>
      </w:r>
      <w:r>
        <w:rPr>
          <w:rFonts w:hint="eastAsia" w:ascii="仿宋_GB2312" w:hAnsi="仿宋_GB2312" w:eastAsia="仿宋_GB2312" w:cs="仿宋_GB2312"/>
          <w:sz w:val="32"/>
          <w:szCs w:val="32"/>
          <w:highlight w:val="none"/>
          <w:lang w:eastAsia="zh-CN"/>
        </w:rPr>
        <w:t>元，其中：</w:t>
      </w:r>
      <w:r>
        <w:rPr>
          <w:rFonts w:hint="eastAsia" w:ascii="仿宋_GB2312" w:eastAsia="仿宋_GB2312"/>
          <w:sz w:val="32"/>
          <w:szCs w:val="32"/>
          <w:highlight w:val="none"/>
        </w:rPr>
        <w:t>一般性转移支付</w:t>
      </w:r>
      <w:r>
        <w:rPr>
          <w:rFonts w:hint="eastAsia" w:ascii="仿宋_GB2312"/>
          <w:sz w:val="32"/>
          <w:szCs w:val="32"/>
          <w:highlight w:val="none"/>
          <w:lang w:val="en-US" w:eastAsia="zh-CN"/>
        </w:rPr>
        <w:t>132758</w:t>
      </w:r>
      <w:r>
        <w:rPr>
          <w:rFonts w:hint="eastAsia" w:ascii="仿宋_GB2312" w:eastAsia="仿宋_GB2312"/>
          <w:sz w:val="32"/>
          <w:szCs w:val="32"/>
          <w:highlight w:val="none"/>
        </w:rPr>
        <w:t>万元，专项转移支付</w:t>
      </w:r>
      <w:r>
        <w:rPr>
          <w:rFonts w:hint="eastAsia" w:ascii="仿宋_GB2312"/>
          <w:sz w:val="32"/>
          <w:szCs w:val="32"/>
          <w:highlight w:val="none"/>
          <w:lang w:val="en-US" w:eastAsia="zh-CN"/>
        </w:rPr>
        <w:t>3888</w:t>
      </w:r>
      <w:r>
        <w:rPr>
          <w:rFonts w:hint="eastAsia" w:ascii="仿宋_GB2312" w:eastAsia="仿宋_GB2312"/>
          <w:sz w:val="32"/>
          <w:szCs w:val="32"/>
          <w:highlight w:val="none"/>
        </w:rPr>
        <w:t>万元</w:t>
      </w:r>
      <w:r>
        <w:rPr>
          <w:rFonts w:hint="eastAsia" w:ascii="仿宋_GB2312"/>
          <w:sz w:val="32"/>
          <w:szCs w:val="32"/>
          <w:highlight w:val="none"/>
          <w:lang w:eastAsia="zh-CN"/>
        </w:rPr>
        <w:t>。</w:t>
      </w:r>
    </w:p>
    <w:p w14:paraId="61510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highlight w:val="yellow"/>
          <w:lang w:eastAsia="zh-CN"/>
        </w:rPr>
      </w:pPr>
      <w:r>
        <w:rPr>
          <w:rFonts w:hint="eastAsia" w:ascii="楷体_GB2312" w:hAnsi="楷体_GB2312" w:eastAsia="楷体_GB2312" w:cs="楷体_GB2312"/>
          <w:color w:val="000000"/>
          <w:sz w:val="32"/>
          <w:szCs w:val="32"/>
          <w:highlight w:val="none"/>
          <w:lang w:val="en-US" w:eastAsia="zh-CN"/>
        </w:rPr>
        <w:t>（一）一般性转移支付</w:t>
      </w:r>
      <w:r>
        <w:rPr>
          <w:rFonts w:hint="eastAsia" w:ascii="仿宋_GB2312"/>
          <w:sz w:val="32"/>
          <w:szCs w:val="32"/>
          <w:highlight w:val="none"/>
          <w:lang w:val="en-US" w:eastAsia="zh-CN"/>
        </w:rPr>
        <w:t>132758</w:t>
      </w:r>
      <w:r>
        <w:rPr>
          <w:rFonts w:hint="eastAsia" w:ascii="楷体_GB2312" w:hAnsi="楷体_GB2312" w:eastAsia="楷体_GB2312" w:cs="楷体_GB2312"/>
          <w:color w:val="000000"/>
          <w:sz w:val="32"/>
          <w:szCs w:val="32"/>
          <w:highlight w:val="none"/>
          <w:lang w:val="en-US" w:eastAsia="zh-CN"/>
        </w:rPr>
        <w:t>万元。</w:t>
      </w:r>
      <w:r>
        <w:rPr>
          <w:rFonts w:hint="eastAsia" w:ascii="仿宋_GB2312" w:hAnsi="仿宋_GB2312" w:eastAsia="仿宋_GB2312" w:cs="仿宋_GB2312"/>
          <w:sz w:val="32"/>
          <w:szCs w:val="32"/>
          <w:highlight w:val="none"/>
          <w:lang w:eastAsia="zh-CN"/>
        </w:rPr>
        <w:t>其中：</w:t>
      </w:r>
      <w:r>
        <w:rPr>
          <w:rFonts w:hint="eastAsia" w:ascii="仿宋_GB2312" w:hAnsi="仿宋_GB2312" w:cs="仿宋_GB2312"/>
          <w:sz w:val="32"/>
          <w:szCs w:val="32"/>
          <w:highlight w:val="none"/>
          <w:lang w:val="en-US" w:eastAsia="zh-CN"/>
        </w:rPr>
        <w:t>均衡性转移支付收入15852万元，县级基本财力保障机制奖补资金收入4548万元，结算补助收入545万元，重点生态功能区转移支付收入6541万元，固定数额补助收入11129万元，返还性收入33925万元，革命老区转移支付收入101万元，民族地区转移支付收入12万元，巩固脱贫攻坚成果衔接乡村振兴转移支付收入1201万元，</w:t>
      </w:r>
      <w:r>
        <w:rPr>
          <w:rFonts w:hint="eastAsia" w:ascii="仿宋_GB2312" w:hAnsi="仿宋_GB2312" w:cs="仿宋_GB2312"/>
          <w:color w:val="auto"/>
          <w:sz w:val="32"/>
          <w:szCs w:val="32"/>
          <w:highlight w:val="none"/>
          <w:lang w:val="en-US" w:eastAsia="zh-CN"/>
        </w:rPr>
        <w:t>一般公共服务共同财政事权转移支付收入38万元，</w:t>
      </w:r>
      <w:r>
        <w:rPr>
          <w:rFonts w:hint="eastAsia" w:ascii="仿宋_GB2312" w:hAnsi="仿宋_GB2312" w:cs="仿宋_GB2312"/>
          <w:sz w:val="32"/>
          <w:szCs w:val="32"/>
          <w:highlight w:val="none"/>
          <w:lang w:val="en-US" w:eastAsia="zh-CN"/>
        </w:rPr>
        <w:t>公共安全共同财政事权转移支付收入1208万元，教育共同财政事权转移支付收入10033万元，科学技术共同财政事权转移支付收入717万元，文化旅游体育与传媒共同财政事权转移支付收入350万元，社会保障和就业共同财政事权转移支付收入23597万元，医疗卫生共同财政事权转移支付收入4040万元，节能环保共同财政事权转移支付收入217万元，农林水共同财政事权转移支付收入15476万元，交通运输共同财政事权转移支付收入1650万元，住房保障共同财政事权转移支付收入1002万元，灾害防治及应急管理共同财政事权转移支付收入73万元，其他一般性转移支付收入503万元。</w:t>
      </w:r>
    </w:p>
    <w:p w14:paraId="62227C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方正小标宋_GBK" w:hAnsi="方正小标宋_GBK" w:eastAsia="方正小标宋_GBK" w:cs="方正小标宋_GBK"/>
          <w:sz w:val="36"/>
          <w:szCs w:val="36"/>
          <w:lang w:val="en-US" w:eastAsia="zh-CN"/>
        </w:rPr>
      </w:pPr>
      <w:r>
        <w:rPr>
          <w:rFonts w:hint="eastAsia" w:ascii="楷体_GB2312" w:hAnsi="楷体_GB2312" w:eastAsia="楷体_GB2312" w:cs="楷体_GB2312"/>
          <w:color w:val="000000"/>
          <w:sz w:val="32"/>
          <w:szCs w:val="32"/>
          <w:highlight w:val="none"/>
          <w:lang w:val="en-US" w:eastAsia="zh-CN"/>
        </w:rPr>
        <w:t>（二）专项转移支付3888万元。</w:t>
      </w:r>
      <w:r>
        <w:rPr>
          <w:rFonts w:hint="eastAsia" w:ascii="仿宋_GB2312" w:hAnsi="仿宋_GB2312" w:eastAsia="仿宋_GB2312" w:cs="仿宋_GB2312"/>
          <w:sz w:val="32"/>
          <w:szCs w:val="32"/>
          <w:highlight w:val="none"/>
          <w:lang w:eastAsia="zh-CN"/>
        </w:rPr>
        <w:t>其中：</w:t>
      </w:r>
      <w:r>
        <w:rPr>
          <w:rFonts w:hint="eastAsia" w:ascii="仿宋_GB2312" w:hAnsi="仿宋_GB2312" w:cs="仿宋_GB2312"/>
          <w:sz w:val="32"/>
          <w:szCs w:val="32"/>
          <w:highlight w:val="none"/>
          <w:lang w:val="en-US" w:eastAsia="zh-CN"/>
        </w:rPr>
        <w:t>卫生健康58万元，节能环保支出3104万元，农林水支出624万元，资源勘探工业信息102万元。</w:t>
      </w:r>
    </w:p>
    <w:p w14:paraId="52498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四、绩效预算工作开展情况</w:t>
      </w:r>
    </w:p>
    <w:p w14:paraId="3FED60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认真贯彻落实十九大“建立全面规范透明、标准科学、约束</w:t>
      </w:r>
    </w:p>
    <w:p w14:paraId="797A42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有力的预算制度，全面实施绩效管理”的改革部署和省政府《关</w:t>
      </w:r>
    </w:p>
    <w:p w14:paraId="28AF4D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于深化绩效预算管理改革的意见》要求，在努力构建“预算编制</w:t>
      </w:r>
    </w:p>
    <w:p w14:paraId="6D6ABA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有目标、预算执行有监控、预算完成有评价、评价结果有应用、</w:t>
      </w:r>
    </w:p>
    <w:p w14:paraId="0D1D9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绩效缺失有问责”的全过程绩效管理新机制基础上，多方面持续</w:t>
      </w:r>
    </w:p>
    <w:p w14:paraId="3EFFC3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用力，进一步推进全省绩效预算管理科学化、规范化、系统化。</w:t>
      </w:r>
    </w:p>
    <w:p w14:paraId="2B022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（一）、加强组织领导</w:t>
      </w:r>
    </w:p>
    <w:p w14:paraId="5FAF5A1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jc w:val="left"/>
        <w:textAlignment w:val="auto"/>
        <w:outlineLvl w:val="9"/>
        <w:rPr>
          <w:rFonts w:ascii="仿宋_GB2312" w:eastAsia="仿宋_GB2312"/>
          <w:sz w:val="32"/>
          <w:szCs w:val="32"/>
        </w:rPr>
      </w:pPr>
      <w:r>
        <w:rPr>
          <w:rFonts w:hint="eastAsia" w:ascii="仿宋_GB2312" w:eastAsia="仿宋_GB2312"/>
          <w:sz w:val="32"/>
          <w:szCs w:val="32"/>
        </w:rPr>
        <w:t>为确保预算绩效管理体制改革工作顺利开展，明确职责分工，强化组织保障，成立绩效预算管理改革工作领导小组，负责绩效预算管理体制改革工作的组织领导和沟通协调。领导小组组长由局长担任、副组长由副局长担任、各业务股股长为领导小组成员。领导小组办公室设在预算股，由专人负责绩效预算联络工作。各预算部门建立绩效预算工作联络员制度，负责与县财政局绩效预算管理改革工作领导小组办公室和本部门科室之间的沟通、信息反馈及日常工作。各部门均按照财政部门的工作要求，积极推进绩效预算管理改革，与财政部门建立协调机制，确保改革工作的顺利开展。</w:t>
      </w:r>
    </w:p>
    <w:p w14:paraId="22C6FF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（二）、开展业务培训</w:t>
      </w:r>
    </w:p>
    <w:p w14:paraId="4ED3962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按照绩效预算管理改革工作总体部署，多次组织召开业务培训，努力使财政部门各股室、各预算部门负责人全面掌握改革政策要求，确保业务人员了解绩效预算改革内容、操作流程，能够熟练进行业务操作。</w:t>
      </w:r>
    </w:p>
    <w:p w14:paraId="1BB12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（三）全面实施预算绩效管理</w:t>
      </w:r>
    </w:p>
    <w:p w14:paraId="61D92A9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按照深化财税体制改革、加快建立现代财政制度的总体要求，根据中共河北省委、河北省人民政府《关于全面实施预算绩效管理的实施意见》（冀发</w:t>
      </w:r>
      <w:r>
        <w:rPr>
          <w:rFonts w:hint="eastAsia" w:ascii="仿宋_GB2312" w:eastAsia="仿宋_GB2312"/>
          <w:sz w:val="32"/>
          <w:szCs w:val="32"/>
          <w:lang w:eastAsia="zh-CN"/>
        </w:rPr>
        <w:t>〔</w:t>
      </w:r>
      <w:r>
        <w:rPr>
          <w:rFonts w:hint="eastAsia" w:ascii="仿宋_GB2312" w:eastAsia="仿宋_GB2312"/>
          <w:sz w:val="32"/>
          <w:szCs w:val="32"/>
          <w:lang w:val="en-US" w:eastAsia="zh-CN"/>
        </w:rPr>
        <w:t>2018</w:t>
      </w:r>
      <w:r>
        <w:rPr>
          <w:rFonts w:hint="eastAsia" w:ascii="仿宋_GB2312" w:eastAsia="仿宋_GB2312"/>
          <w:sz w:val="32"/>
          <w:szCs w:val="32"/>
          <w:lang w:eastAsia="zh-CN"/>
        </w:rPr>
        <w:t>〕</w:t>
      </w:r>
      <w:r>
        <w:rPr>
          <w:rFonts w:hint="eastAsia" w:ascii="仿宋_GB2312" w:eastAsia="仿宋_GB2312"/>
          <w:sz w:val="32"/>
          <w:szCs w:val="32"/>
        </w:rPr>
        <w:t>54号）</w:t>
      </w:r>
      <w:r>
        <w:rPr>
          <w:rFonts w:hint="eastAsia" w:ascii="仿宋_GB2312" w:eastAsia="仿宋_GB2312"/>
          <w:sz w:val="32"/>
          <w:szCs w:val="32"/>
          <w:lang w:eastAsia="zh-CN"/>
        </w:rPr>
        <w:t>和张家口市委、张家口市人民政府《张家口市全面实施预算绩效管理推进方案》（张发〔</w:t>
      </w:r>
      <w:r>
        <w:rPr>
          <w:rFonts w:hint="eastAsia" w:ascii="仿宋_GB2312" w:eastAsia="仿宋_GB2312"/>
          <w:sz w:val="32"/>
          <w:szCs w:val="32"/>
          <w:lang w:val="en-US" w:eastAsia="zh-CN"/>
        </w:rPr>
        <w:t>2019</w:t>
      </w:r>
      <w:r>
        <w:rPr>
          <w:rFonts w:hint="eastAsia" w:ascii="仿宋_GB2312" w:eastAsia="仿宋_GB2312"/>
          <w:sz w:val="32"/>
          <w:szCs w:val="32"/>
          <w:lang w:eastAsia="zh-CN"/>
        </w:rPr>
        <w:t>〕</w:t>
      </w:r>
      <w:r>
        <w:rPr>
          <w:rFonts w:hint="eastAsia" w:ascii="仿宋_GB2312" w:eastAsia="仿宋_GB2312"/>
          <w:sz w:val="32"/>
          <w:szCs w:val="32"/>
          <w:lang w:val="en-US" w:eastAsia="zh-CN"/>
        </w:rPr>
        <w:t>7号</w:t>
      </w:r>
      <w:r>
        <w:rPr>
          <w:rFonts w:hint="eastAsia" w:ascii="仿宋_GB2312" w:eastAsia="仿宋_GB2312"/>
          <w:sz w:val="32"/>
          <w:szCs w:val="32"/>
          <w:lang w:eastAsia="zh-CN"/>
        </w:rPr>
        <w:t>）</w:t>
      </w:r>
      <w:r>
        <w:rPr>
          <w:rFonts w:hint="eastAsia" w:ascii="仿宋_GB2312" w:eastAsia="仿宋_GB2312"/>
          <w:sz w:val="32"/>
          <w:szCs w:val="32"/>
        </w:rPr>
        <w:t>，结合我</w:t>
      </w:r>
      <w:r>
        <w:rPr>
          <w:rFonts w:hint="eastAsia" w:ascii="仿宋_GB2312" w:eastAsia="仿宋_GB2312"/>
          <w:sz w:val="32"/>
          <w:szCs w:val="32"/>
          <w:lang w:eastAsia="zh-CN"/>
        </w:rPr>
        <w:t>县</w:t>
      </w:r>
      <w:r>
        <w:rPr>
          <w:rFonts w:hint="eastAsia" w:ascii="仿宋_GB2312" w:eastAsia="仿宋_GB2312"/>
          <w:sz w:val="32"/>
          <w:szCs w:val="32"/>
        </w:rPr>
        <w:t>实际，确定我</w:t>
      </w:r>
      <w:r>
        <w:rPr>
          <w:rFonts w:hint="eastAsia" w:ascii="仿宋_GB2312" w:eastAsia="仿宋_GB2312"/>
          <w:sz w:val="32"/>
          <w:szCs w:val="32"/>
          <w:lang w:eastAsia="zh-CN"/>
        </w:rPr>
        <w:t>县</w:t>
      </w:r>
      <w:r>
        <w:rPr>
          <w:rFonts w:hint="eastAsia" w:ascii="仿宋_GB2312" w:eastAsia="仿宋_GB2312"/>
          <w:sz w:val="32"/>
          <w:szCs w:val="32"/>
        </w:rPr>
        <w:t>预算绩效管理改革的总体目标是：全面强化绩效理念，突出强调成本效益，更加注重结果导向，切实硬化责任约束，通过逐步构建完善的制度和标准体系，突出抓好目标设定、运行监控、绩效评价等关键环节，推</w:t>
      </w:r>
      <w:bookmarkStart w:id="0" w:name="_GoBack"/>
      <w:bookmarkEnd w:id="0"/>
      <w:r>
        <w:rPr>
          <w:rFonts w:hint="eastAsia" w:ascii="仿宋_GB2312" w:eastAsia="仿宋_GB2312"/>
          <w:sz w:val="32"/>
          <w:szCs w:val="32"/>
        </w:rPr>
        <w:t>动预算绩效管理扩围升级，将政府收支预算、部门收支预算、政策资金和项目预算全面纳入绩效管理，将绩效管理覆盖所有财政资金，将绩效理念和方法深度融入预算编制、执行和监督各个环节。2019年推进预算绩效管理</w:t>
      </w:r>
      <w:r>
        <w:rPr>
          <w:rFonts w:hint="eastAsia" w:ascii="仿宋_GB2312" w:eastAsia="仿宋_GB2312"/>
          <w:sz w:val="32"/>
          <w:szCs w:val="32"/>
          <w:lang w:eastAsia="zh-CN"/>
        </w:rPr>
        <w:t>工作</w:t>
      </w:r>
      <w:r>
        <w:rPr>
          <w:rFonts w:hint="eastAsia" w:ascii="仿宋_GB2312" w:eastAsia="仿宋_GB2312"/>
          <w:sz w:val="32"/>
          <w:szCs w:val="32"/>
        </w:rPr>
        <w:t>，到2020年底，基本建成全方位、全过程、全覆盖的预算绩效管理体系，形成制度完善、管理规范、运转高效的预算绩效管理机制。</w:t>
      </w:r>
    </w:p>
    <w:p w14:paraId="2BE55F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（四）完善项目库建设</w:t>
      </w:r>
    </w:p>
    <w:p w14:paraId="311B4B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eastAsia="仿宋_GB2312"/>
          <w:sz w:val="32"/>
          <w:szCs w:val="32"/>
        </w:rPr>
      </w:pPr>
      <w:r>
        <w:rPr>
          <w:rFonts w:hint="eastAsia" w:ascii="仿宋_GB2312" w:eastAsia="仿宋_GB2312"/>
          <w:sz w:val="32"/>
          <w:szCs w:val="32"/>
        </w:rPr>
        <w:t>根据改革要求建立健全预算项目库，完善管理机制，充分发挥项目库的基础支撑作用。预算管理做到所有预算项目都要进入项目库，没有进入项目库的不得安排预算。202</w:t>
      </w:r>
      <w:r>
        <w:rPr>
          <w:rFonts w:hint="eastAsia" w:ascii="仿宋_GB2312"/>
          <w:sz w:val="32"/>
          <w:szCs w:val="32"/>
          <w:lang w:val="en-US" w:eastAsia="zh-CN"/>
        </w:rPr>
        <w:t>5</w:t>
      </w:r>
      <w:r>
        <w:rPr>
          <w:rFonts w:hint="eastAsia" w:ascii="仿宋_GB2312" w:eastAsia="仿宋_GB2312"/>
          <w:sz w:val="32"/>
          <w:szCs w:val="32"/>
        </w:rPr>
        <w:t>年，我县年初入库项目</w:t>
      </w:r>
      <w:r>
        <w:rPr>
          <w:rFonts w:hint="eastAsia" w:ascii="仿宋_GB2312"/>
          <w:sz w:val="32"/>
          <w:szCs w:val="32"/>
          <w:lang w:val="en-US" w:eastAsia="zh-CN"/>
        </w:rPr>
        <w:t>2352</w:t>
      </w:r>
      <w:r>
        <w:rPr>
          <w:rFonts w:hint="eastAsia" w:ascii="仿宋_GB2312" w:eastAsia="仿宋_GB2312"/>
          <w:sz w:val="32"/>
          <w:szCs w:val="32"/>
        </w:rPr>
        <w:t>条，涉及资金</w:t>
      </w:r>
      <w:r>
        <w:rPr>
          <w:rFonts w:hint="eastAsia" w:ascii="仿宋_GB2312"/>
          <w:sz w:val="32"/>
          <w:szCs w:val="32"/>
          <w:lang w:val="en-US" w:eastAsia="zh-CN"/>
        </w:rPr>
        <w:t>684016</w:t>
      </w:r>
      <w:r>
        <w:rPr>
          <w:rFonts w:hint="eastAsia" w:ascii="仿宋_GB2312" w:eastAsia="仿宋_GB2312"/>
          <w:sz w:val="32"/>
          <w:szCs w:val="32"/>
        </w:rPr>
        <w:t>万元。此举进一步规范了我县预算项目申报审核，按程序组织项目论证、审查和入库的工作，切实提高项目预算编制质量。组织全县77个预算部门比照“部门职责-工作活动”目录及</w:t>
      </w:r>
      <w:r>
        <w:rPr>
          <w:rFonts w:hint="eastAsia" w:ascii="仿宋_GB2312"/>
          <w:sz w:val="32"/>
          <w:szCs w:val="32"/>
          <w:lang w:val="en-US" w:eastAsia="zh-CN"/>
        </w:rPr>
        <w:t>修订</w:t>
      </w:r>
      <w:r>
        <w:rPr>
          <w:rFonts w:hint="eastAsia" w:ascii="仿宋_GB2312" w:eastAsia="仿宋_GB2312"/>
          <w:sz w:val="32"/>
          <w:szCs w:val="32"/>
        </w:rPr>
        <w:t>完善了绩效目标指标体系，实行了规范的预算管理结构，按照“部门职责-工作活动-预算项目”三个层级编制2024年部门预算。预算编制明确了审核标准，确保部门预算绩效目标详实准确、科学规范、合理可行，尽可能量化细化，达到可审核、可监控、可评价、可公开。并依托省厅开发的“河北财政管理系统一体化平台”，将项目与指标紧密结合，实行全程跟踪管理。</w:t>
      </w:r>
    </w:p>
    <w:p w14:paraId="08F9E6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（五）规范预算编制</w:t>
      </w:r>
    </w:p>
    <w:p w14:paraId="00FA9D5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按照绩效预算管理体制改革要求分别编制了一般公共预算、政府性基金预算、国有资本经营收入</w:t>
      </w:r>
      <w:r>
        <w:rPr>
          <w:rFonts w:hint="eastAsia" w:ascii="仿宋_GB2312"/>
          <w:sz w:val="32"/>
          <w:szCs w:val="32"/>
          <w:lang w:eastAsia="zh-CN"/>
        </w:rPr>
        <w:t>、</w:t>
      </w:r>
      <w:r>
        <w:rPr>
          <w:rFonts w:hint="eastAsia" w:ascii="仿宋_GB2312" w:eastAsia="仿宋_GB2312"/>
          <w:sz w:val="32"/>
          <w:szCs w:val="32"/>
        </w:rPr>
        <w:t>社会保险基金预算</w:t>
      </w:r>
      <w:r>
        <w:rPr>
          <w:rFonts w:hint="eastAsia" w:ascii="仿宋_GB2312"/>
          <w:sz w:val="32"/>
          <w:szCs w:val="32"/>
          <w:lang w:eastAsia="zh-CN"/>
        </w:rPr>
        <w:t>四</w:t>
      </w:r>
      <w:r>
        <w:rPr>
          <w:rFonts w:hint="eastAsia" w:ascii="仿宋_GB2312" w:eastAsia="仿宋_GB2312"/>
          <w:sz w:val="32"/>
          <w:szCs w:val="32"/>
        </w:rPr>
        <w:t>本预算，将上级税收返还、下级上解收入、列入基数和提前通知的上级转移支付，与本级收入一并列入收入预算，统筹安排本级支出。县级</w:t>
      </w:r>
      <w:r>
        <w:rPr>
          <w:rFonts w:hint="eastAsia" w:ascii="仿宋_GB2312"/>
          <w:sz w:val="32"/>
          <w:szCs w:val="32"/>
          <w:lang w:eastAsia="zh-CN"/>
        </w:rPr>
        <w:t>202</w:t>
      </w:r>
      <w:r>
        <w:rPr>
          <w:rFonts w:hint="eastAsia" w:ascii="仿宋_GB2312"/>
          <w:sz w:val="32"/>
          <w:szCs w:val="32"/>
          <w:lang w:val="en-US" w:eastAsia="zh-CN"/>
        </w:rPr>
        <w:t>3</w:t>
      </w:r>
      <w:r>
        <w:rPr>
          <w:rFonts w:hint="eastAsia" w:ascii="仿宋_GB2312" w:eastAsia="仿宋_GB2312"/>
          <w:sz w:val="32"/>
          <w:szCs w:val="32"/>
        </w:rPr>
        <w:t>年预算编制除实行企业化管理的事业单位外，所有预算部门都编制了部门预算，做到了一个部门一本预算，并将部门及所属单位所有收入全部纳入部门预算，部门支出预算统筹各类收入，按基本支出、项目支出分别编制。项目支出均按照省财政厅规定的12大类30小类的项目分类和编报模式，编制项目预算。以绩效为导向审核预算，将绩效目标指标审核作为安排预算的前提。</w:t>
      </w:r>
    </w:p>
    <w:p w14:paraId="30B7E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（六）严格预算执行</w:t>
      </w:r>
    </w:p>
    <w:p w14:paraId="6248861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规定程序和时限要求加快预算批复下达，强化预算执行管理，严格预算执行进度考核机制，实行执行进度通报制，建立预算执行与下年安排挂钩机制，促进部门加快执行进度。把绩效运行作为财政预算执行监控的主要内容之一，按照年初确定的绩效目标指标，动态监控各项资金支出和项目运行，及时纠正出现的问题。</w:t>
      </w:r>
    </w:p>
    <w:p w14:paraId="6EA51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（八）完善预算标准体系</w:t>
      </w:r>
    </w:p>
    <w:p w14:paraId="37D653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按照省财政厅要求健全基本支出定额标准体系，加快项目支出定额标准体系建设。完善人员编制管理、资产管理与预算编制相结合的机制，建立部门预算基础信息库，夯实基本支出预算管理基础工作开展。</w:t>
      </w:r>
    </w:p>
    <w:p w14:paraId="7616B3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（九）夯实预决算公开工作</w:t>
      </w:r>
    </w:p>
    <w:p w14:paraId="434F0680">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eastAsia="仿宋_GB2312"/>
          <w:sz w:val="32"/>
          <w:szCs w:val="32"/>
        </w:rPr>
      </w:pPr>
      <w:r>
        <w:rPr>
          <w:rFonts w:hint="eastAsia" w:ascii="仿宋_GB2312" w:eastAsia="仿宋_GB2312"/>
          <w:sz w:val="32"/>
          <w:szCs w:val="32"/>
        </w:rPr>
        <w:t>积极推进预决算公开工作制度的建设与完善。从新年伊始，在召开的各种会议上均对预决算公开工作做出重点强调，并在印发的《怀来县财政局关于进一步做好</w:t>
      </w:r>
      <w:r>
        <w:rPr>
          <w:rFonts w:hint="eastAsia" w:ascii="仿宋_GB2312"/>
          <w:sz w:val="32"/>
          <w:szCs w:val="32"/>
          <w:lang w:eastAsia="zh-CN"/>
        </w:rPr>
        <w:t>2020</w:t>
      </w:r>
      <w:r>
        <w:rPr>
          <w:rFonts w:hint="eastAsia" w:ascii="仿宋_GB2312" w:eastAsia="仿宋_GB2312"/>
          <w:sz w:val="32"/>
          <w:szCs w:val="32"/>
        </w:rPr>
        <w:t>年预算公开工作的通知》（怀财字﹝</w:t>
      </w:r>
      <w:r>
        <w:rPr>
          <w:rFonts w:hint="eastAsia" w:ascii="仿宋_GB2312"/>
          <w:sz w:val="32"/>
          <w:szCs w:val="32"/>
          <w:lang w:eastAsia="zh-CN"/>
        </w:rPr>
        <w:t>2020</w:t>
      </w:r>
      <w:r>
        <w:rPr>
          <w:rFonts w:hint="eastAsia" w:ascii="仿宋_GB2312" w:eastAsia="仿宋_GB2312"/>
          <w:sz w:val="32"/>
          <w:szCs w:val="32"/>
        </w:rPr>
        <w:t>﹞</w:t>
      </w:r>
      <w:r>
        <w:rPr>
          <w:rFonts w:hint="eastAsia" w:ascii="仿宋_GB2312"/>
          <w:sz w:val="32"/>
          <w:szCs w:val="32"/>
          <w:lang w:val="en-US" w:eastAsia="zh-CN"/>
        </w:rPr>
        <w:t>12</w:t>
      </w:r>
      <w:r>
        <w:rPr>
          <w:rFonts w:hint="eastAsia" w:ascii="仿宋_GB2312" w:eastAsia="仿宋_GB2312"/>
          <w:sz w:val="32"/>
          <w:szCs w:val="32"/>
        </w:rPr>
        <w:t>号）</w:t>
      </w:r>
      <w:r>
        <w:rPr>
          <w:rFonts w:hint="eastAsia" w:ascii="仿宋_GB2312"/>
          <w:sz w:val="32"/>
          <w:szCs w:val="32"/>
          <w:lang w:eastAsia="zh-CN"/>
        </w:rPr>
        <w:t>，</w:t>
      </w:r>
      <w:r>
        <w:rPr>
          <w:rFonts w:hint="eastAsia" w:ascii="仿宋_GB2312" w:eastAsia="仿宋_GB2312"/>
          <w:sz w:val="32"/>
          <w:szCs w:val="32"/>
        </w:rPr>
        <w:t>文件中对预算公开主体、公开时限、公开内容、公开质量、公开渠道及其他相关事项提出了详细的操作要求，并随文件提供相关的预决算公开附件及模版以便于预算部门统一标准完成公开工作。</w:t>
      </w:r>
    </w:p>
    <w:p w14:paraId="678386C5">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五、政府采购情况</w:t>
      </w:r>
    </w:p>
    <w:p w14:paraId="6C97E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eastAsia" w:ascii="仿宋_GB2312" w:eastAsia="仿宋_GB2312"/>
          <w:sz w:val="32"/>
          <w:szCs w:val="32"/>
        </w:rPr>
      </w:pPr>
      <w:r>
        <w:rPr>
          <w:rFonts w:hint="eastAsia" w:ascii="仿宋_GB2312" w:eastAsia="仿宋_GB2312"/>
          <w:sz w:val="32"/>
          <w:szCs w:val="32"/>
        </w:rPr>
        <w:t>2025年县本级政府采购预算项目资金安排万元。按45244.11采购类别分：货物类7855.96万元、工程类26136.02万元、服务类11252.12万元；按资金来源性质分：一般公共预算34049.27万元、政府性基金预算2148.70万元、上年结转结余9046.13万元。2025年本级政府采购预算编制要求为：凡符合《河北省集中采购目录及政府采购限额标准》的，全面编列部门政府采购预算。2025年县级政府采购限额标准为：单项或批量采购预算金额30万元（不含）以下的，不需办理政府采购手续；公开招标限额标准为：货物类和服务类200万元（含），工程类按照相关规定执行。</w:t>
      </w:r>
    </w:p>
    <w:p w14:paraId="02DDBE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六、其他重要事项解释说明</w:t>
      </w:r>
    </w:p>
    <w:p w14:paraId="0FE315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2098" w:right="1474" w:bottom="2098" w:left="1587" w:header="851" w:footer="992" w:gutter="0"/>
      <w:cols w:space="0" w:num="1"/>
      <w:rtlGutter w:val="0"/>
      <w:docGrid w:type="linesAndChars" w:linePitch="486"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8C39A"/>
    <w:multiLevelType w:val="singleLevel"/>
    <w:tmpl w:val="5B78C39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2I4MDJjOGU5OTBmNWI0NzcxMzNjZTBkYzZiYmUifQ=="/>
  </w:docVars>
  <w:rsids>
    <w:rsidRoot w:val="00000000"/>
    <w:rsid w:val="03535A8D"/>
    <w:rsid w:val="03932D7C"/>
    <w:rsid w:val="04864B9D"/>
    <w:rsid w:val="05EB3BF0"/>
    <w:rsid w:val="05EE0C64"/>
    <w:rsid w:val="06186BF5"/>
    <w:rsid w:val="071902A1"/>
    <w:rsid w:val="0E101645"/>
    <w:rsid w:val="0F490407"/>
    <w:rsid w:val="133E2880"/>
    <w:rsid w:val="14B818D0"/>
    <w:rsid w:val="15055C1B"/>
    <w:rsid w:val="15976535"/>
    <w:rsid w:val="161956EB"/>
    <w:rsid w:val="165B1A18"/>
    <w:rsid w:val="17CE3757"/>
    <w:rsid w:val="1B183B77"/>
    <w:rsid w:val="1D690C3F"/>
    <w:rsid w:val="1D8C1543"/>
    <w:rsid w:val="1D9D5AA3"/>
    <w:rsid w:val="1E5B3E0B"/>
    <w:rsid w:val="1F8B1147"/>
    <w:rsid w:val="207179A9"/>
    <w:rsid w:val="20745B9A"/>
    <w:rsid w:val="209B2642"/>
    <w:rsid w:val="20F77F42"/>
    <w:rsid w:val="225F2423"/>
    <w:rsid w:val="23CB5361"/>
    <w:rsid w:val="25D05650"/>
    <w:rsid w:val="26A67B17"/>
    <w:rsid w:val="29526B79"/>
    <w:rsid w:val="2A2F7DDA"/>
    <w:rsid w:val="2AE05519"/>
    <w:rsid w:val="2BF370AF"/>
    <w:rsid w:val="30637C21"/>
    <w:rsid w:val="336226DC"/>
    <w:rsid w:val="33694E93"/>
    <w:rsid w:val="33BB0CFE"/>
    <w:rsid w:val="33C70DEA"/>
    <w:rsid w:val="34023218"/>
    <w:rsid w:val="37D04F1C"/>
    <w:rsid w:val="38746528"/>
    <w:rsid w:val="3AA67D01"/>
    <w:rsid w:val="3CF60D7E"/>
    <w:rsid w:val="3F326C68"/>
    <w:rsid w:val="4078446B"/>
    <w:rsid w:val="42B20281"/>
    <w:rsid w:val="42B24614"/>
    <w:rsid w:val="43921D40"/>
    <w:rsid w:val="448C14AA"/>
    <w:rsid w:val="4511235F"/>
    <w:rsid w:val="45551D3A"/>
    <w:rsid w:val="46C670DC"/>
    <w:rsid w:val="479B7539"/>
    <w:rsid w:val="48230C72"/>
    <w:rsid w:val="49F52A38"/>
    <w:rsid w:val="4CAC3921"/>
    <w:rsid w:val="4E37530E"/>
    <w:rsid w:val="4EB843B5"/>
    <w:rsid w:val="4F810503"/>
    <w:rsid w:val="50946F11"/>
    <w:rsid w:val="50AA6C80"/>
    <w:rsid w:val="51604F03"/>
    <w:rsid w:val="52BA35DE"/>
    <w:rsid w:val="537C74C2"/>
    <w:rsid w:val="53A6282B"/>
    <w:rsid w:val="54DF2F34"/>
    <w:rsid w:val="54FE5304"/>
    <w:rsid w:val="582F554F"/>
    <w:rsid w:val="58C442AB"/>
    <w:rsid w:val="592B2027"/>
    <w:rsid w:val="5A9B7BE2"/>
    <w:rsid w:val="5AF37FAE"/>
    <w:rsid w:val="5C2048A6"/>
    <w:rsid w:val="5C436463"/>
    <w:rsid w:val="5C9F2793"/>
    <w:rsid w:val="5DEC0DF7"/>
    <w:rsid w:val="5E483810"/>
    <w:rsid w:val="5EE147AD"/>
    <w:rsid w:val="5F5A5C53"/>
    <w:rsid w:val="60393E8A"/>
    <w:rsid w:val="604B0A22"/>
    <w:rsid w:val="62876321"/>
    <w:rsid w:val="63855092"/>
    <w:rsid w:val="64084ABD"/>
    <w:rsid w:val="64556826"/>
    <w:rsid w:val="64A54E6F"/>
    <w:rsid w:val="653F5EF9"/>
    <w:rsid w:val="65747D81"/>
    <w:rsid w:val="66685DA0"/>
    <w:rsid w:val="669366EB"/>
    <w:rsid w:val="66DE6885"/>
    <w:rsid w:val="67B67E16"/>
    <w:rsid w:val="67E241D0"/>
    <w:rsid w:val="680E14F8"/>
    <w:rsid w:val="687C1074"/>
    <w:rsid w:val="69353537"/>
    <w:rsid w:val="6A391E3C"/>
    <w:rsid w:val="6B5D0506"/>
    <w:rsid w:val="6D672865"/>
    <w:rsid w:val="6D896835"/>
    <w:rsid w:val="6FC90F68"/>
    <w:rsid w:val="70D40377"/>
    <w:rsid w:val="72932D4D"/>
    <w:rsid w:val="72A91EEE"/>
    <w:rsid w:val="77627230"/>
    <w:rsid w:val="799B084B"/>
    <w:rsid w:val="7A0E496C"/>
    <w:rsid w:val="7A540E69"/>
    <w:rsid w:val="7BF44608"/>
    <w:rsid w:val="7E534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3433</Words>
  <Characters>3773</Characters>
  <Lines>0</Lines>
  <Paragraphs>0</Paragraphs>
  <TotalTime>0</TotalTime>
  <ScaleCrop>false</ScaleCrop>
  <LinksUpToDate>false</LinksUpToDate>
  <CharactersWithSpaces>3773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66</cp:lastModifiedBy>
  <cp:lastPrinted>2022-06-20T08:02:00Z</cp:lastPrinted>
  <dcterms:modified xsi:type="dcterms:W3CDTF">2025-05-28T01:27:07Z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A608ADDE0D5A48EABE278C66D780B775</vt:lpwstr>
  </property>
  <property fmtid="{D5CDD505-2E9C-101B-9397-08002B2CF9AE}" pid="4" name="KSOTemplateDocerSaveRecord">
    <vt:lpwstr>eyJoZGlkIjoiNGMzZjI0NzIwNzZmM2QyOWU5N2EyNTJlODc0MmU3ZTkiLCJ1c2VySWQiOiIzOTIyMDUwODAifQ==</vt:lpwstr>
  </property>
</Properties>
</file>