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042DF">
      <w:pPr>
        <w:jc w:val="center"/>
      </w:pPr>
      <w:r>
        <w:rPr>
          <w:rFonts w:ascii="方正小标宋_GBK" w:hAnsi="方正小标宋_GBK" w:eastAsia="方正小标宋_GBK" w:cs="方正小标宋_GBK"/>
          <w:color w:val="000000"/>
          <w:sz w:val="52"/>
        </w:rPr>
        <w:t xml:space="preserve"> </w:t>
      </w:r>
    </w:p>
    <w:p w14:paraId="3EAFD117">
      <w:pPr>
        <w:jc w:val="center"/>
      </w:pPr>
      <w:r>
        <w:rPr>
          <w:rFonts w:ascii="方正小标宋_GBK" w:hAnsi="方正小标宋_GBK" w:eastAsia="方正小标宋_GBK" w:cs="方正小标宋_GBK"/>
          <w:color w:val="000000"/>
          <w:sz w:val="52"/>
        </w:rPr>
        <w:t xml:space="preserve"> </w:t>
      </w:r>
    </w:p>
    <w:p w14:paraId="77A94753">
      <w:pPr>
        <w:jc w:val="center"/>
      </w:pPr>
      <w:r>
        <w:rPr>
          <w:rFonts w:ascii="方正小标宋_GBK" w:hAnsi="方正小标宋_GBK" w:eastAsia="方正小标宋_GBK" w:cs="方正小标宋_GBK"/>
          <w:color w:val="000000"/>
          <w:sz w:val="52"/>
        </w:rPr>
        <w:t xml:space="preserve"> </w:t>
      </w:r>
    </w:p>
    <w:p w14:paraId="2E61DC99">
      <w:pPr>
        <w:jc w:val="center"/>
      </w:pPr>
      <w:r>
        <w:rPr>
          <w:rFonts w:ascii="方正小标宋_GBK" w:hAnsi="方正小标宋_GBK" w:eastAsia="方正小标宋_GBK" w:cs="方正小标宋_GBK"/>
          <w:color w:val="000000"/>
          <w:sz w:val="72"/>
        </w:rPr>
        <w:t>河北沙城经济开发区管理委员会部门</w:t>
      </w:r>
    </w:p>
    <w:p w14:paraId="244D876D">
      <w:pPr>
        <w:jc w:val="center"/>
      </w:pPr>
      <w:r>
        <w:rPr>
          <w:rFonts w:ascii="方正小标宋_GBK" w:hAnsi="方正小标宋_GBK" w:eastAsia="方正小标宋_GBK" w:cs="方正小标宋_GBK"/>
          <w:color w:val="000000"/>
          <w:sz w:val="72"/>
        </w:rPr>
        <w:t>2022年部门预算绩效文本</w:t>
      </w:r>
    </w:p>
    <w:p w14:paraId="5F88D2F1">
      <w:pPr>
        <w:jc w:val="center"/>
      </w:pPr>
    </w:p>
    <w:p w14:paraId="732A6D16">
      <w:pPr>
        <w:jc w:val="center"/>
      </w:pPr>
      <w:r>
        <w:rPr>
          <w:rFonts w:ascii="宋体" w:hAnsi="宋体" w:eastAsia="宋体" w:cs="宋体"/>
          <w:color w:val="000000"/>
          <w:sz w:val="21"/>
        </w:rPr>
        <w:t xml:space="preserve"> </w:t>
      </w:r>
    </w:p>
    <w:p w14:paraId="2217D538">
      <w:pPr>
        <w:jc w:val="center"/>
      </w:pPr>
      <w:r>
        <w:rPr>
          <w:rFonts w:ascii="宋体" w:hAnsi="宋体" w:eastAsia="宋体" w:cs="宋体"/>
          <w:color w:val="000000"/>
          <w:sz w:val="21"/>
        </w:rPr>
        <w:t xml:space="preserve"> </w:t>
      </w:r>
    </w:p>
    <w:p w14:paraId="47490BE0">
      <w:pPr>
        <w:jc w:val="center"/>
      </w:pPr>
      <w:r>
        <w:rPr>
          <w:rFonts w:ascii="宋体" w:hAnsi="宋体" w:eastAsia="宋体" w:cs="宋体"/>
          <w:color w:val="000000"/>
          <w:sz w:val="21"/>
        </w:rPr>
        <w:t xml:space="preserve"> </w:t>
      </w:r>
    </w:p>
    <w:p w14:paraId="2106E90B">
      <w:pPr>
        <w:jc w:val="center"/>
      </w:pPr>
      <w:r>
        <w:rPr>
          <w:rFonts w:ascii="宋体" w:hAnsi="宋体" w:eastAsia="宋体" w:cs="宋体"/>
          <w:color w:val="000000"/>
          <w:sz w:val="21"/>
        </w:rPr>
        <w:t xml:space="preserve"> </w:t>
      </w:r>
    </w:p>
    <w:p w14:paraId="02CE7230">
      <w:pPr>
        <w:jc w:val="center"/>
      </w:pPr>
      <w:r>
        <w:rPr>
          <w:rFonts w:ascii="宋体" w:hAnsi="宋体" w:eastAsia="宋体" w:cs="宋体"/>
          <w:color w:val="000000"/>
          <w:sz w:val="21"/>
        </w:rPr>
        <w:t xml:space="preserve"> </w:t>
      </w:r>
    </w:p>
    <w:p w14:paraId="6CF26263">
      <w:pPr>
        <w:jc w:val="center"/>
      </w:pPr>
      <w:r>
        <w:rPr>
          <w:rFonts w:ascii="宋体" w:hAnsi="宋体" w:eastAsia="宋体" w:cs="宋体"/>
          <w:color w:val="000000"/>
          <w:sz w:val="21"/>
        </w:rPr>
        <w:t xml:space="preserve"> </w:t>
      </w:r>
    </w:p>
    <w:p w14:paraId="3BCE44AF">
      <w:pPr>
        <w:jc w:val="center"/>
      </w:pPr>
      <w:r>
        <w:rPr>
          <w:rFonts w:ascii="宋体" w:hAnsi="宋体" w:eastAsia="宋体" w:cs="宋体"/>
          <w:color w:val="000000"/>
          <w:sz w:val="21"/>
        </w:rPr>
        <w:t xml:space="preserve"> </w:t>
      </w:r>
    </w:p>
    <w:p w14:paraId="1FED4C63">
      <w:pPr>
        <w:jc w:val="center"/>
      </w:pPr>
      <w:r>
        <w:rPr>
          <w:rFonts w:ascii="宋体" w:hAnsi="宋体" w:eastAsia="宋体" w:cs="宋体"/>
          <w:color w:val="000000"/>
          <w:sz w:val="21"/>
        </w:rPr>
        <w:t xml:space="preserve"> </w:t>
      </w:r>
    </w:p>
    <w:p w14:paraId="49842667">
      <w:pPr>
        <w:jc w:val="center"/>
      </w:pPr>
      <w:r>
        <w:rPr>
          <w:rFonts w:ascii="宋体" w:hAnsi="宋体" w:eastAsia="宋体" w:cs="宋体"/>
          <w:color w:val="000000"/>
          <w:sz w:val="21"/>
        </w:rPr>
        <w:t xml:space="preserve"> </w:t>
      </w:r>
    </w:p>
    <w:p w14:paraId="4AD8D136">
      <w:pPr>
        <w:jc w:val="center"/>
      </w:pPr>
      <w:r>
        <w:rPr>
          <w:rFonts w:ascii="宋体" w:hAnsi="宋体" w:eastAsia="宋体" w:cs="宋体"/>
          <w:color w:val="000000"/>
          <w:sz w:val="21"/>
        </w:rPr>
        <w:t xml:space="preserve"> </w:t>
      </w:r>
    </w:p>
    <w:p w14:paraId="4DAA8E17">
      <w:pPr>
        <w:jc w:val="center"/>
      </w:pPr>
      <w:r>
        <w:rPr>
          <w:rFonts w:ascii="宋体" w:hAnsi="宋体" w:eastAsia="宋体" w:cs="宋体"/>
          <w:color w:val="000000"/>
          <w:sz w:val="21"/>
        </w:rPr>
        <w:t xml:space="preserve"> </w:t>
      </w:r>
    </w:p>
    <w:p w14:paraId="27E1A1D2">
      <w:pPr>
        <w:jc w:val="center"/>
      </w:pPr>
      <w:r>
        <w:rPr>
          <w:rFonts w:ascii="宋体" w:hAnsi="宋体" w:eastAsia="宋体" w:cs="宋体"/>
          <w:color w:val="000000"/>
          <w:sz w:val="21"/>
        </w:rPr>
        <w:t xml:space="preserve"> </w:t>
      </w:r>
    </w:p>
    <w:p w14:paraId="7731300E">
      <w:pPr>
        <w:jc w:val="center"/>
      </w:pPr>
      <w:r>
        <w:rPr>
          <w:rFonts w:ascii="宋体" w:hAnsi="宋体" w:eastAsia="宋体" w:cs="宋体"/>
          <w:color w:val="000000"/>
          <w:sz w:val="21"/>
        </w:rPr>
        <w:t xml:space="preserve"> </w:t>
      </w:r>
    </w:p>
    <w:p w14:paraId="2CAFDD0E">
      <w:pPr>
        <w:jc w:val="center"/>
      </w:pPr>
      <w:r>
        <w:rPr>
          <w:rFonts w:ascii="宋体" w:hAnsi="宋体" w:eastAsia="宋体" w:cs="宋体"/>
          <w:color w:val="000000"/>
          <w:sz w:val="21"/>
        </w:rPr>
        <w:t xml:space="preserve"> </w:t>
      </w:r>
    </w:p>
    <w:p w14:paraId="1B1DADFE">
      <w:pPr>
        <w:jc w:val="center"/>
      </w:pPr>
      <w:r>
        <w:rPr>
          <w:rFonts w:ascii="宋体" w:hAnsi="宋体" w:eastAsia="宋体" w:cs="宋体"/>
          <w:color w:val="000000"/>
          <w:sz w:val="21"/>
        </w:rPr>
        <w:t xml:space="preserve"> </w:t>
      </w:r>
    </w:p>
    <w:p w14:paraId="538A4A98">
      <w:pPr>
        <w:jc w:val="center"/>
      </w:pPr>
      <w:r>
        <w:rPr>
          <w:rFonts w:ascii="宋体" w:hAnsi="宋体" w:eastAsia="宋体" w:cs="宋体"/>
          <w:color w:val="000000"/>
          <w:sz w:val="21"/>
        </w:rPr>
        <w:t xml:space="preserve"> </w:t>
      </w:r>
    </w:p>
    <w:p w14:paraId="78095EE9">
      <w:pPr>
        <w:jc w:val="center"/>
      </w:pPr>
      <w:r>
        <w:rPr>
          <w:rFonts w:ascii="宋体" w:hAnsi="宋体" w:eastAsia="宋体" w:cs="宋体"/>
          <w:color w:val="000000"/>
          <w:sz w:val="21"/>
        </w:rPr>
        <w:t xml:space="preserve"> </w:t>
      </w:r>
    </w:p>
    <w:p w14:paraId="64B18F52">
      <w:pPr>
        <w:jc w:val="center"/>
      </w:pPr>
      <w:r>
        <w:rPr>
          <w:rFonts w:ascii="方正楷体_GBK" w:hAnsi="方正楷体_GBK" w:eastAsia="方正楷体_GBK" w:cs="方正楷体_GBK"/>
          <w:b/>
          <w:color w:val="000000"/>
          <w:sz w:val="32"/>
        </w:rPr>
        <w:t>河北沙城经济开发区管理委员会部门编制</w:t>
      </w:r>
    </w:p>
    <w:p w14:paraId="03F27A5B">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0F202F05">
      <w:pPr>
        <w:jc w:val="center"/>
        <w:sectPr>
          <w:pgSz w:w="11900" w:h="16840"/>
          <w:pgMar w:top="1984" w:right="1304" w:bottom="1134" w:left="1304" w:header="720" w:footer="720" w:gutter="0"/>
          <w:cols w:space="720" w:num="1"/>
          <w:titlePg/>
        </w:sectPr>
      </w:pPr>
    </w:p>
    <w:p w14:paraId="71FF321A">
      <w:pPr>
        <w:jc w:val="center"/>
      </w:pPr>
      <w:r>
        <w:rPr>
          <w:rFonts w:ascii="方正小标宋_GBK" w:hAnsi="方正小标宋_GBK" w:eastAsia="方正小标宋_GBK" w:cs="方正小标宋_GBK"/>
          <w:color w:val="000000"/>
          <w:sz w:val="36"/>
        </w:rPr>
        <w:t xml:space="preserve"> </w:t>
      </w:r>
    </w:p>
    <w:p w14:paraId="595B53F1">
      <w:pPr>
        <w:jc w:val="center"/>
        <w:outlineLvl w:val="0"/>
      </w:pPr>
      <w:r>
        <w:rPr>
          <w:rFonts w:ascii="方正小标宋_GBK" w:hAnsi="方正小标宋_GBK" w:eastAsia="方正小标宋_GBK" w:cs="方正小标宋_GBK"/>
          <w:color w:val="000000"/>
          <w:sz w:val="36"/>
        </w:rPr>
        <w:t>目    录</w:t>
      </w:r>
    </w:p>
    <w:p w14:paraId="366B819B">
      <w:pPr>
        <w:jc w:val="center"/>
      </w:pPr>
      <w:r>
        <w:rPr>
          <w:rFonts w:ascii="方正小标宋_GBK" w:hAnsi="方正小标宋_GBK" w:eastAsia="方正小标宋_GBK" w:cs="方正小标宋_GBK"/>
          <w:color w:val="000000"/>
          <w:sz w:val="30"/>
        </w:rPr>
        <w:t xml:space="preserve"> </w:t>
      </w:r>
    </w:p>
    <w:p w14:paraId="01B83D3E">
      <w:pPr>
        <w:jc w:val="center"/>
      </w:pPr>
      <w:r>
        <w:rPr>
          <w:rFonts w:ascii="方正小标宋_GBK" w:hAnsi="方正小标宋_GBK" w:eastAsia="方正小标宋_GBK" w:cs="方正小标宋_GBK"/>
          <w:color w:val="000000"/>
          <w:sz w:val="30"/>
        </w:rPr>
        <w:t>第一部分 部门整体绩效目标</w:t>
      </w:r>
    </w:p>
    <w:p w14:paraId="07846F83">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264AA2E1">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0E1E8B79">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14:paraId="1C2A2332">
      <w:r>
        <w:fldChar w:fldCharType="end"/>
      </w:r>
    </w:p>
    <w:p w14:paraId="7CECCE5A">
      <w:pPr>
        <w:jc w:val="center"/>
      </w:pPr>
      <w:r>
        <w:rPr>
          <w:rFonts w:ascii="方正小标宋_GBK" w:hAnsi="方正小标宋_GBK" w:eastAsia="方正小标宋_GBK" w:cs="方正小标宋_GBK"/>
          <w:color w:val="000000"/>
          <w:sz w:val="30"/>
        </w:rPr>
        <w:t>第二部分 预算项目绩效目标</w:t>
      </w:r>
    </w:p>
    <w:p w14:paraId="0F61F110">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定额公用经费绩效目标表</w:t>
      </w:r>
      <w:r>
        <w:tab/>
      </w:r>
      <w:r>
        <w:fldChar w:fldCharType="begin"/>
      </w:r>
      <w:r>
        <w:instrText xml:space="preserve">PAGEREF _Toc_4_4_0000000004 \h</w:instrText>
      </w:r>
      <w:r>
        <w:fldChar w:fldCharType="separate"/>
      </w:r>
      <w:r>
        <w:t>7</w:t>
      </w:r>
      <w:r>
        <w:fldChar w:fldCharType="end"/>
      </w:r>
      <w:r>
        <w:fldChar w:fldCharType="end"/>
      </w:r>
    </w:p>
    <w:p w14:paraId="35C41D99">
      <w:r>
        <w:fldChar w:fldCharType="end"/>
      </w:r>
    </w:p>
    <w:p w14:paraId="1B48EEA8">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2CAA4157">
      <w:pPr>
        <w:jc w:val="center"/>
      </w:pPr>
      <w:r>
        <w:rPr>
          <w:rFonts w:ascii="方正小标宋_GBK" w:hAnsi="方正小标宋_GBK" w:eastAsia="方正小标宋_GBK" w:cs="方正小标宋_GBK"/>
          <w:color w:val="000000"/>
          <w:sz w:val="44"/>
        </w:rPr>
        <w:t xml:space="preserve"> </w:t>
      </w:r>
    </w:p>
    <w:p w14:paraId="4B56F303">
      <w:pPr>
        <w:jc w:val="center"/>
      </w:pPr>
      <w:r>
        <w:rPr>
          <w:rFonts w:ascii="方正小标宋_GBK" w:hAnsi="方正小标宋_GBK" w:eastAsia="方正小标宋_GBK" w:cs="方正小标宋_GBK"/>
          <w:color w:val="000000"/>
          <w:sz w:val="44"/>
        </w:rPr>
        <w:t>第一部分</w:t>
      </w:r>
    </w:p>
    <w:p w14:paraId="57B12D7F">
      <w:pPr>
        <w:jc w:val="center"/>
        <w:outlineLvl w:val="0"/>
      </w:pPr>
      <w:r>
        <w:rPr>
          <w:rFonts w:ascii="方正小标宋_GBK" w:hAnsi="方正小标宋_GBK" w:eastAsia="方正小标宋_GBK" w:cs="方正小标宋_GBK"/>
          <w:color w:val="000000"/>
          <w:sz w:val="44"/>
        </w:rPr>
        <w:t>部门整体绩效目标</w:t>
      </w:r>
    </w:p>
    <w:p w14:paraId="15834682">
      <w:pPr>
        <w:jc w:val="center"/>
      </w:pPr>
      <w:r>
        <w:rPr>
          <w:rFonts w:ascii="方正小标宋_GBK" w:hAnsi="方正小标宋_GBK" w:eastAsia="方正小标宋_GBK" w:cs="方正小标宋_GBK"/>
          <w:color w:val="000000"/>
          <w:sz w:val="44"/>
        </w:rPr>
        <w:t xml:space="preserve"> </w:t>
      </w:r>
    </w:p>
    <w:p w14:paraId="66BD63F3">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14:paraId="1BFD1779">
      <w:pPr>
        <w:pStyle w:val="5"/>
      </w:pPr>
      <w:r>
        <w:t>坚持以习近平新时代中国特色社会主义思想为指导，深入贯彻党的十九大和十九届二中、三中、四中、五中、六中全会精神，坚持高质量发展理念，狠抓数字经济、葡萄文旅（生态）、加工制造、商贸物流、宜居康养五大产业，以奋进的状态增强紧迫感，以攻坚的使命树牢责任心，以担当的勇气服务企业与项目，全力培强经济发展新动能，打造创新发展新引擎，创建一流环境品牌地，进一步扩大新一代信息技术产业发展成果，推动园区建设再上新台阶。</w:t>
      </w:r>
    </w:p>
    <w:p w14:paraId="14196CF8">
      <w:pPr>
        <w:pStyle w:val="5"/>
      </w:pPr>
      <w:r>
        <w:t>年内完成工业总产值125亿元，同比增长12%；营业收入457亿元，同比增长14%；外贸出口2512万美元，同比增长11%；实际利用外资12200万美元，同比增长10%；固定资产投资62亿元，同比增长10%。</w:t>
      </w:r>
    </w:p>
    <w:p w14:paraId="2D855E0C">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14:paraId="1E751ACE">
      <w:pPr>
        <w:pStyle w:val="6"/>
      </w:pPr>
      <w:r>
        <w:t>1、创新方式，提升招商质量</w:t>
      </w:r>
    </w:p>
    <w:p w14:paraId="7821001A">
      <w:pPr>
        <w:pStyle w:val="6"/>
      </w:pPr>
      <w:r>
        <w:t>聚焦京津冀协同发展战略部署和园区产业规划，以信息技术服务业、高端装备制造业为重点，明确招商方向，确定招商重点落实招商目标，跟进招商措施，提升招商质量。一是树立“全员”理念。培养抓招商抓发展理念，以科学产业规划为前提，将招商范围和招商对象限定在合理范围，合理配置利用招商资源，激发开发区干部参与招商的热情，形成关心招商、支持招商、服务招商、参与招商的强大合力。二是完善招商机制。充分利用园区企业以商招商，与数据公司招商团队合作，引进大数据上下游产业项目，做好项目储备工作，建立健全重点投资企业联系服务机制，建立重点企业微信群，每年开展多次走访和重点企业座谈会，对企业实施精准服务。三是强化专业团队。建立领导分包推动机制，将招商引资项目进行分解，责任到人，死盯死拧，确保项目建设顺利推进；四是用好招商平台。与中产集团合作，提升平台对招商项目的集聚度和吸引力，助力我区产业集聚升级，吸引更多大企业、好项目来开发区发展；五是抓好产业链招商。立足大数据、高端装备等主导产业全产业链发展，进一步梳理北京企业、协会等优质资源，建立招商信息库，完善招商网络，做到最好最全面的园区展示和招商网络通道，为精准招商明确重点和方向。</w:t>
      </w:r>
    </w:p>
    <w:p w14:paraId="0F724493">
      <w:pPr>
        <w:pStyle w:val="6"/>
      </w:pPr>
      <w:r>
        <w:t>年内积极推动西峰科技生命科学园项目、世纪互联北方第二总部怀来基地项目签约工作，实现中国电信智慧云基地怀来园区项目、久仪人工智能产业基地项目、怀来智能电气设备制造项目开工建设。</w:t>
      </w:r>
    </w:p>
    <w:p w14:paraId="70622065">
      <w:pPr>
        <w:pStyle w:val="6"/>
      </w:pPr>
      <w:r>
        <w:t>2、创新机制，推进项目建设</w:t>
      </w:r>
    </w:p>
    <w:p w14:paraId="15071852">
      <w:pPr>
        <w:pStyle w:val="6"/>
      </w:pPr>
      <w:r>
        <w:t>创新工作机制，解决工作中存在的思维陈旧、方法老化、路径依赖等问题，以创新的思维解决发展中的难点，以灵活的机制化解工作中的矛盾，努力走出既符合国家政策又适合沙城经济开发区实际的项目工作新机制。一是创新评估机制。建立招商项目事前评估机制，重点评估项目亩均投资强度、单位面积产值、亩均税收、工业增加值能耗等关键性指标和产业的配套能力、互补效果、链条完善等要素。严把项目严把项目入口关，使项目落地就能够达到高起点，提升落户项目的质量效益。二是创新推进机制。要推进项目就要担当作为，针对不同项目实施“一企一策”和差异化满足，形成上下贯通，闭环管理，分类指导，有效衔接的“穿透式”包保机制。同时建立“项目卡”、“项目例会分析”和“项目动态考核督导”等制度，确保项目跟进全程到位，解决问题精准高效，推进项目抓实抓细，使项目快落地早开工形成实物性工作量，加快建设早日实现投产达产。三是创新科技机制。重点推进京西中小企业创业辅导基地申报省级孵化器，推进区内5家企业申报高新技术企业，15家企业申报科技型中小企业。发挥大数据、航空航天、软件和互联网企业的研发优势，鼓励企业提质升级，提高开发区科技占比。推进《开发区人才库》建设，深化开展与市技师学院等单位合作，助力企业抓好人才引进和招工招聘工作。四是创新融资机制。开辟多元化的融资渠道，积极争取债券资金、专项资金、投资基金等资金的支持。整合园区有效资产积极对接银行等金融部门加大支持力度。提升开发区自身投融资平台的运营水平，实施实体化运作，增强融资能力，偿债能力和再发展能力；包装“园中园”项目和投资运营一体化项目，吸引各类社会投资主体参与园区建设。五是创新保障机制。用改革的方法，市场的逻辑，资本的力量，平台化的思维去做好要素和服务“双保障”。推进项目承诺制的改革，最大限度地实行和开工与审批相同步；建立“两单一卡”制度，强化项目审批全程代办，强化审批绿色通道；创新土地供应模式，学习先进开发区“先租后让、租让结合的弹性年期出让”办法，降低企业用地成本；探索推进工业用地“标准地”和标准厂房供应模式，为项目尽早开工、尽早建成、尽快投产达产奠定基础；积极开展低效项目清退，完善“腾笼换鸟”等低效企业退出机制。</w:t>
      </w:r>
    </w:p>
    <w:p w14:paraId="64C7B58F">
      <w:pPr>
        <w:pStyle w:val="6"/>
      </w:pPr>
      <w:r>
        <w:t>3.创新服务，优化营商环境</w:t>
      </w:r>
    </w:p>
    <w:p w14:paraId="7480BB61">
      <w:pPr>
        <w:pStyle w:val="6"/>
      </w:pPr>
      <w:r>
        <w:t>发挥好营商环境催化剂、加速器、营养基作用，加快打造一个市场宽松有序、工作高效透明、企业多元包容、要素汇聚高效、法治公平公正的营商软环境。一是强力企业倍增计划。分门别类确定一批成长性好、发展前景好的工业企业，认真梳理企业发展中存在的重点难点问题，制定解决方案，逐一破解难题，促进企业产值和税收收入双增收。二是全面升级服务措施。针对性园区实际和企业需求，升级系统化、功能化、多样化的服务措施，并形成配套的服务文件和服务承诺，从投资到投产提供全程保姆式服务，增强园区对项目的吸引力、市场的辨识度和环境品牌影响力。三是建立健全服务专班。根据沙城经济开发区的实际，针对企业和项目的需求，整合人员和资源力量，建立服务专班。在“专”字上下功夫，突出专注、强化专业、落实专管。以“责任、合力、务实”定位服务专班工作内涵。层层压实责任，制定具体举措，明确时间节点、协调解决问题，清晰定位标准，形成联动合力。利用冬闲时机，加快办理前期各项手续，力争明春全部达到开工条件，实现项目建设首季开门红。集中力量推进一批重点项目、解决一批突出问题、办成一批好事实事。四是建设综合服务平台。为项目建设和企业运行、提供综合保障，解决园区企业和项目单位申请投资、政务服务、非公党建、公共治理、公共服务、人才引进、子女入学、员工培训、代办帮办等方面的服务工作和服务协调。五是深化“我为群众办实事”</w:t>
      </w:r>
      <w:r>
        <w:rPr>
          <w:rFonts w:hint="eastAsia"/>
          <w:lang w:eastAsia="zh-CN"/>
        </w:rPr>
        <w:t>实践</w:t>
      </w:r>
      <w:r>
        <w:t>活动，落实项目包联责任，健全项目服务专员、定期走</w:t>
      </w:r>
      <w:bookmarkStart w:id="4" w:name="_GoBack"/>
      <w:r>
        <w:t>访座谈、帮办代办服务、情况定期通报“四项制度”和建立领导协调机构、企</w:t>
      </w:r>
      <w:bookmarkEnd w:id="4"/>
      <w:r>
        <w:t>业服务热线、协调督查机制“三个保障”。全面推进“沉浸式”服务，转变观念转变方式，深入项目了解企业，把工作场景置身企业和项目之中，帮助企业解决招工难、融资难等问题，为企业提供更好的服务，使为企业和群众办实事真正落到实处，取得效果，切实增强企业的满意度和归属感。六是认真落实各项政策，贯彻落实《进一步优化营商环境若干措施实施细则》《招商引资扶持政策》《招商引资工作考核办法》《支持大数据产业发展八项措施》《大数据产业融资办法》《关于推动大数据产业招商引资工作高质量发展的若干措施》等一系列优化营商环境政策措施，打造最优营商环境和发展环境。七是全力抓实安全生产。按照“党政同责、一岗双责、齐抓共管</w:t>
      </w:r>
      <w:r>
        <w:rPr>
          <w:rFonts w:hint="eastAsia"/>
          <w:lang w:eastAsia="zh-CN"/>
        </w:rPr>
        <w:t>、失职追责</w:t>
      </w:r>
      <w:r>
        <w:t>”的要求，树立“隐患就是事故”的理念，把安全生产教育和隐患排查作为重点强力落实。做好安全生产责任落实到位，隐患排查清理到位，应急措施演练到位，各类风险防范到位，为冬奥会举办营造良好的安全生产环境。按照省、市、县要求，加大对园区企业的疫情管控力度，做好疫情防控常态化工作。八是强力推进基础设施，落实存瑞园区市政U型路土地规模指标，完成腾讯外围基础设施工程。协同县城投公司推进怀来科教产业园区基础设施建设项目、怀来县科教园区孵化中心项目，协同县建发集团推进怀来大数据产业园区综合管网工程、纬三道西段道路工程，协同县产发公司协调推进怀来县中小企业创新创业孵化园项目。</w:t>
      </w:r>
    </w:p>
    <w:p w14:paraId="6AB0AA88">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14:paraId="62507CAF">
      <w:pPr>
        <w:pStyle w:val="7"/>
      </w:pPr>
      <w:r>
        <w:t>工作保障措施：</w:t>
      </w:r>
    </w:p>
    <w:p w14:paraId="57AF5FBB">
      <w:pPr>
        <w:pStyle w:val="7"/>
      </w:pPr>
      <w:r>
        <w:t>一是落实责任。明确项目包联领导，层层压实责任。针对每项任务成立专项攻坚小组，责任落实到人。</w:t>
      </w:r>
    </w:p>
    <w:p w14:paraId="28164BBD">
      <w:pPr>
        <w:pStyle w:val="7"/>
      </w:pPr>
      <w:r>
        <w:t>二是强化调度。根据项目建设需求，及时召开协调会、调度会。做到每周协调、每月调度，随时召开现场会，查找问题，及时解决。紧盯各项任务目标节点，强化督查力度，全力推进各项任务完成。</w:t>
      </w:r>
    </w:p>
    <w:p w14:paraId="0B2B7EE6">
      <w:pPr>
        <w:pStyle w:val="7"/>
      </w:pPr>
      <w:r>
        <w:t>三是转变作风。坚决反对形式主义、官僚主义，切实做到转变作风、真抓实干。加强督查检查，紧紧围绕项目建设和企业发展开展工作，把持续转变工作作风作为园区建设攻坚的首要保障，营造“亲”和“清”的政商关系，以过硬的作风助推企业优质高效发展。</w:t>
      </w:r>
    </w:p>
    <w:p w14:paraId="3B892B0F">
      <w:pPr>
        <w:pStyle w:val="7"/>
      </w:pPr>
      <w:r>
        <w:t>四是考核问效。坚持目标导向和科学量化。制定准确的量化标准，建立了科学适用的指标评价体系，客观评价各部门工作实绩。坚持过程控制和节点问效。考核周期系统化，月度考核、季度考核和年度考核的方式有机结合，实行台</w:t>
      </w:r>
      <w:r>
        <w:rPr>
          <w:rFonts w:hint="eastAsia"/>
          <w:lang w:eastAsia="zh-CN"/>
        </w:rPr>
        <w:t>账</w:t>
      </w:r>
      <w:r>
        <w:t>式管理，提升考核的整体效能。坚持分级分类和指标联动。聚焦开发区主责主业，将指标层层分解落实，分类考核与综合考核相结合，增强考核评价工作的针对性和有效性。</w:t>
      </w:r>
    </w:p>
    <w:p w14:paraId="7AF0D78C">
      <w:pPr>
        <w:pStyle w:val="7"/>
      </w:pPr>
    </w:p>
    <w:p w14:paraId="54703716">
      <w:pPr>
        <w:pStyle w:val="7"/>
      </w:pPr>
    </w:p>
    <w:p w14:paraId="783F2683">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7563A4E4">
      <w:pPr>
        <w:jc w:val="center"/>
      </w:pPr>
      <w:r>
        <w:rPr>
          <w:rFonts w:ascii="方正小标宋_GBK" w:hAnsi="方正小标宋_GBK" w:eastAsia="方正小标宋_GBK" w:cs="方正小标宋_GBK"/>
          <w:color w:val="000000"/>
          <w:sz w:val="52"/>
        </w:rPr>
        <w:t xml:space="preserve"> </w:t>
      </w:r>
    </w:p>
    <w:p w14:paraId="74B34563">
      <w:pPr>
        <w:jc w:val="center"/>
      </w:pPr>
      <w:r>
        <w:rPr>
          <w:rFonts w:ascii="方正小标宋_GBK" w:hAnsi="方正小标宋_GBK" w:eastAsia="方正小标宋_GBK" w:cs="方正小标宋_GBK"/>
          <w:color w:val="000000"/>
          <w:sz w:val="52"/>
        </w:rPr>
        <w:t xml:space="preserve"> </w:t>
      </w:r>
    </w:p>
    <w:p w14:paraId="0C4EED30">
      <w:pPr>
        <w:jc w:val="center"/>
      </w:pPr>
      <w:r>
        <w:rPr>
          <w:rFonts w:ascii="方正小标宋_GBK" w:hAnsi="方正小标宋_GBK" w:eastAsia="方正小标宋_GBK" w:cs="方正小标宋_GBK"/>
          <w:color w:val="000000"/>
          <w:sz w:val="52"/>
        </w:rPr>
        <w:t xml:space="preserve"> </w:t>
      </w:r>
    </w:p>
    <w:p w14:paraId="3F2BCBBC">
      <w:pPr>
        <w:jc w:val="center"/>
      </w:pPr>
      <w:r>
        <w:rPr>
          <w:rFonts w:ascii="方正小标宋_GBK" w:hAnsi="方正小标宋_GBK" w:eastAsia="方正小标宋_GBK" w:cs="方正小标宋_GBK"/>
          <w:color w:val="000000"/>
          <w:sz w:val="44"/>
        </w:rPr>
        <w:t>第二部分</w:t>
      </w:r>
    </w:p>
    <w:p w14:paraId="635769A5">
      <w:pPr>
        <w:jc w:val="center"/>
      </w:pPr>
      <w:r>
        <w:rPr>
          <w:rFonts w:ascii="方正小标宋_GBK" w:hAnsi="方正小标宋_GBK" w:eastAsia="方正小标宋_GBK" w:cs="方正小标宋_GBK"/>
          <w:color w:val="000000"/>
          <w:sz w:val="44"/>
        </w:rPr>
        <w:t xml:space="preserve"> </w:t>
      </w:r>
    </w:p>
    <w:p w14:paraId="685CCAA6">
      <w:pPr>
        <w:jc w:val="center"/>
        <w:outlineLvl w:val="0"/>
      </w:pPr>
      <w:r>
        <w:rPr>
          <w:rFonts w:ascii="方正小标宋_GBK" w:hAnsi="方正小标宋_GBK" w:eastAsia="方正小标宋_GBK" w:cs="方正小标宋_GBK"/>
          <w:color w:val="000000"/>
          <w:sz w:val="44"/>
        </w:rPr>
        <w:t>预算项目绩效目标</w:t>
      </w:r>
    </w:p>
    <w:p w14:paraId="17554C92">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772BEB15">
      <w:pPr>
        <w:jc w:val="center"/>
      </w:pPr>
      <w:r>
        <w:rPr>
          <w:rFonts w:ascii="方正仿宋_GBK" w:hAnsi="方正仿宋_GBK" w:eastAsia="方正仿宋_GBK" w:cs="方正仿宋_GBK"/>
          <w:color w:val="000000"/>
          <w:sz w:val="28"/>
        </w:rPr>
        <w:t xml:space="preserve"> </w:t>
      </w:r>
    </w:p>
    <w:p w14:paraId="304E1D9F">
      <w:pPr>
        <w:ind w:firstLine="560"/>
        <w:outlineLvl w:val="3"/>
      </w:pPr>
      <w:bookmarkStart w:id="3" w:name="_Toc_4_4_0000000004"/>
      <w:r>
        <w:rPr>
          <w:rFonts w:ascii="方正仿宋_GBK" w:hAnsi="方正仿宋_GBK" w:eastAsia="方正仿宋_GBK" w:cs="方正仿宋_GBK"/>
          <w:color w:val="000000"/>
          <w:sz w:val="28"/>
        </w:rPr>
        <w:t>1.怀财字【2022】7号 定额公用经费绩效目标表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6EB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EFDE460">
            <w:pPr>
              <w:pStyle w:val="9"/>
            </w:pPr>
            <w:r>
              <w:t>978001河北沙城经济开发区管理委员会</w:t>
            </w:r>
          </w:p>
        </w:tc>
        <w:tc>
          <w:tcPr>
            <w:tcW w:w="1843" w:type="dxa"/>
            <w:tcBorders>
              <w:top w:val="single" w:color="FFFFFF" w:sz="6" w:space="0"/>
              <w:left w:val="single" w:color="FFFFFF" w:sz="6" w:space="0"/>
              <w:right w:val="single" w:color="FFFFFF" w:sz="6" w:space="0"/>
            </w:tcBorders>
            <w:vAlign w:val="center"/>
          </w:tcPr>
          <w:p w14:paraId="3712DA42">
            <w:pPr>
              <w:pStyle w:val="8"/>
            </w:pPr>
            <w:r>
              <w:t>单位：万元</w:t>
            </w:r>
          </w:p>
        </w:tc>
      </w:tr>
      <w:tr w14:paraId="74F9D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E10CC">
            <w:pPr>
              <w:pStyle w:val="11"/>
            </w:pPr>
            <w:r>
              <w:t>项目编码</w:t>
            </w:r>
          </w:p>
        </w:tc>
        <w:tc>
          <w:tcPr>
            <w:tcW w:w="2608" w:type="dxa"/>
            <w:gridSpan w:val="2"/>
            <w:vAlign w:val="center"/>
          </w:tcPr>
          <w:p w14:paraId="6979850A">
            <w:pPr>
              <w:pStyle w:val="10"/>
            </w:pPr>
            <w:r>
              <w:t>13073022P00825110002X</w:t>
            </w:r>
          </w:p>
        </w:tc>
        <w:tc>
          <w:tcPr>
            <w:tcW w:w="1587" w:type="dxa"/>
            <w:vAlign w:val="center"/>
          </w:tcPr>
          <w:p w14:paraId="2FDDE72B">
            <w:pPr>
              <w:pStyle w:val="11"/>
            </w:pPr>
            <w:r>
              <w:t>项目名称</w:t>
            </w:r>
          </w:p>
        </w:tc>
        <w:tc>
          <w:tcPr>
            <w:tcW w:w="4422" w:type="dxa"/>
            <w:gridSpan w:val="3"/>
            <w:vAlign w:val="center"/>
          </w:tcPr>
          <w:p w14:paraId="449F7689">
            <w:pPr>
              <w:pStyle w:val="10"/>
            </w:pPr>
            <w:r>
              <w:t>怀财字【2022】7号 定额公用经费</w:t>
            </w:r>
          </w:p>
        </w:tc>
      </w:tr>
      <w:tr w14:paraId="46A38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463B6">
            <w:pPr>
              <w:pStyle w:val="11"/>
            </w:pPr>
            <w:r>
              <w:t>预算规模及资金用途</w:t>
            </w:r>
          </w:p>
        </w:tc>
        <w:tc>
          <w:tcPr>
            <w:tcW w:w="1276" w:type="dxa"/>
            <w:vAlign w:val="center"/>
          </w:tcPr>
          <w:p w14:paraId="71DA4CAD">
            <w:pPr>
              <w:pStyle w:val="11"/>
            </w:pPr>
            <w:r>
              <w:t>预算数</w:t>
            </w:r>
          </w:p>
        </w:tc>
        <w:tc>
          <w:tcPr>
            <w:tcW w:w="1332" w:type="dxa"/>
            <w:vAlign w:val="center"/>
          </w:tcPr>
          <w:p w14:paraId="75ED3014">
            <w:pPr>
              <w:pStyle w:val="10"/>
            </w:pPr>
            <w:r>
              <w:t>350.00</w:t>
            </w:r>
          </w:p>
        </w:tc>
        <w:tc>
          <w:tcPr>
            <w:tcW w:w="1587" w:type="dxa"/>
            <w:vAlign w:val="center"/>
          </w:tcPr>
          <w:p w14:paraId="7EDC0BA8">
            <w:pPr>
              <w:pStyle w:val="11"/>
            </w:pPr>
            <w:r>
              <w:t>其中：财政    资金</w:t>
            </w:r>
          </w:p>
        </w:tc>
        <w:tc>
          <w:tcPr>
            <w:tcW w:w="1304" w:type="dxa"/>
            <w:vAlign w:val="center"/>
          </w:tcPr>
          <w:p w14:paraId="06D28CD7">
            <w:pPr>
              <w:pStyle w:val="10"/>
            </w:pPr>
            <w:r>
              <w:t>350.00</w:t>
            </w:r>
          </w:p>
        </w:tc>
        <w:tc>
          <w:tcPr>
            <w:tcW w:w="1276" w:type="dxa"/>
            <w:vAlign w:val="center"/>
          </w:tcPr>
          <w:p w14:paraId="67C90F19">
            <w:pPr>
              <w:pStyle w:val="11"/>
            </w:pPr>
            <w:r>
              <w:t>其他资金</w:t>
            </w:r>
          </w:p>
        </w:tc>
        <w:tc>
          <w:tcPr>
            <w:tcW w:w="1843" w:type="dxa"/>
            <w:vAlign w:val="center"/>
          </w:tcPr>
          <w:p w14:paraId="7D8D8996">
            <w:pPr>
              <w:pStyle w:val="10"/>
            </w:pPr>
            <w:r>
              <w:t xml:space="preserve"> </w:t>
            </w:r>
          </w:p>
        </w:tc>
      </w:tr>
      <w:tr w14:paraId="336F1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29E81D"/>
        </w:tc>
        <w:tc>
          <w:tcPr>
            <w:tcW w:w="8617" w:type="dxa"/>
            <w:gridSpan w:val="6"/>
            <w:vAlign w:val="center"/>
          </w:tcPr>
          <w:p w14:paraId="49A3F24B">
            <w:pPr>
              <w:pStyle w:val="10"/>
            </w:pPr>
            <w:r>
              <w:t>为了推进项目建设，提升招商服务水平，满足招商工作及业务需求，用于办公费、手续费、邮电费、咨询费、差旅费、劳务费、委托业务费及宣传费等其他商品和服务支出。</w:t>
            </w:r>
          </w:p>
        </w:tc>
      </w:tr>
      <w:tr w14:paraId="612B3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6C326">
            <w:pPr>
              <w:pStyle w:val="11"/>
            </w:pPr>
            <w:r>
              <w:t>资金支出计划（%）</w:t>
            </w:r>
          </w:p>
        </w:tc>
        <w:tc>
          <w:tcPr>
            <w:tcW w:w="2608" w:type="dxa"/>
            <w:gridSpan w:val="2"/>
            <w:vAlign w:val="center"/>
          </w:tcPr>
          <w:p w14:paraId="1DAAADE7">
            <w:pPr>
              <w:pStyle w:val="11"/>
            </w:pPr>
            <w:r>
              <w:t>3月底</w:t>
            </w:r>
          </w:p>
        </w:tc>
        <w:tc>
          <w:tcPr>
            <w:tcW w:w="1587" w:type="dxa"/>
            <w:vAlign w:val="center"/>
          </w:tcPr>
          <w:p w14:paraId="778B9654">
            <w:pPr>
              <w:pStyle w:val="11"/>
            </w:pPr>
            <w:r>
              <w:t>6月底</w:t>
            </w:r>
          </w:p>
        </w:tc>
        <w:tc>
          <w:tcPr>
            <w:tcW w:w="1304" w:type="dxa"/>
            <w:vAlign w:val="center"/>
          </w:tcPr>
          <w:p w14:paraId="130BDA5A">
            <w:pPr>
              <w:pStyle w:val="11"/>
            </w:pPr>
            <w:r>
              <w:t>10月底</w:t>
            </w:r>
          </w:p>
        </w:tc>
        <w:tc>
          <w:tcPr>
            <w:tcW w:w="3118" w:type="dxa"/>
            <w:gridSpan w:val="2"/>
            <w:vAlign w:val="center"/>
          </w:tcPr>
          <w:p w14:paraId="732FFA50">
            <w:pPr>
              <w:pStyle w:val="11"/>
            </w:pPr>
            <w:r>
              <w:t>12月底</w:t>
            </w:r>
          </w:p>
        </w:tc>
      </w:tr>
      <w:tr w14:paraId="69CD6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441C6A"/>
        </w:tc>
        <w:tc>
          <w:tcPr>
            <w:tcW w:w="2608" w:type="dxa"/>
            <w:gridSpan w:val="2"/>
            <w:vAlign w:val="center"/>
          </w:tcPr>
          <w:p w14:paraId="2D3520AC">
            <w:pPr>
              <w:pStyle w:val="12"/>
            </w:pPr>
            <w:r>
              <w:t>25%</w:t>
            </w:r>
          </w:p>
        </w:tc>
        <w:tc>
          <w:tcPr>
            <w:tcW w:w="1587" w:type="dxa"/>
            <w:vAlign w:val="center"/>
          </w:tcPr>
          <w:p w14:paraId="1048A84A">
            <w:pPr>
              <w:pStyle w:val="12"/>
            </w:pPr>
            <w:r>
              <w:t>50%</w:t>
            </w:r>
          </w:p>
        </w:tc>
        <w:tc>
          <w:tcPr>
            <w:tcW w:w="1304" w:type="dxa"/>
            <w:vAlign w:val="center"/>
          </w:tcPr>
          <w:p w14:paraId="2F2D0AD8">
            <w:pPr>
              <w:pStyle w:val="12"/>
            </w:pPr>
            <w:r>
              <w:t>75%</w:t>
            </w:r>
          </w:p>
        </w:tc>
        <w:tc>
          <w:tcPr>
            <w:tcW w:w="3118" w:type="dxa"/>
            <w:gridSpan w:val="2"/>
            <w:vAlign w:val="center"/>
          </w:tcPr>
          <w:p w14:paraId="7EF2068C">
            <w:pPr>
              <w:pStyle w:val="12"/>
            </w:pPr>
            <w:r>
              <w:t>100%</w:t>
            </w:r>
          </w:p>
        </w:tc>
      </w:tr>
      <w:tr w14:paraId="37AA1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F83D79">
            <w:pPr>
              <w:pStyle w:val="11"/>
            </w:pPr>
            <w:r>
              <w:t>绩效目标</w:t>
            </w:r>
          </w:p>
        </w:tc>
        <w:tc>
          <w:tcPr>
            <w:tcW w:w="8617" w:type="dxa"/>
            <w:gridSpan w:val="6"/>
            <w:vAlign w:val="center"/>
          </w:tcPr>
          <w:p w14:paraId="1F847571">
            <w:pPr>
              <w:pStyle w:val="10"/>
            </w:pPr>
            <w:r>
              <w:t>1.目标内容1</w:t>
            </w:r>
          </w:p>
        </w:tc>
      </w:tr>
    </w:tbl>
    <w:p w14:paraId="173A45AA">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57E7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DC7043">
            <w:pPr>
              <w:pStyle w:val="11"/>
            </w:pPr>
            <w:r>
              <w:t>一级指标</w:t>
            </w:r>
          </w:p>
        </w:tc>
        <w:tc>
          <w:tcPr>
            <w:tcW w:w="1276" w:type="dxa"/>
            <w:vAlign w:val="center"/>
          </w:tcPr>
          <w:p w14:paraId="12D45F08">
            <w:pPr>
              <w:pStyle w:val="11"/>
            </w:pPr>
            <w:r>
              <w:t>二级指标</w:t>
            </w:r>
          </w:p>
        </w:tc>
        <w:tc>
          <w:tcPr>
            <w:tcW w:w="1332" w:type="dxa"/>
            <w:vAlign w:val="center"/>
          </w:tcPr>
          <w:p w14:paraId="72F3161E">
            <w:pPr>
              <w:pStyle w:val="11"/>
            </w:pPr>
            <w:r>
              <w:t>三级指标</w:t>
            </w:r>
          </w:p>
        </w:tc>
        <w:tc>
          <w:tcPr>
            <w:tcW w:w="2891" w:type="dxa"/>
            <w:vAlign w:val="center"/>
          </w:tcPr>
          <w:p w14:paraId="2AD22214">
            <w:pPr>
              <w:pStyle w:val="11"/>
            </w:pPr>
            <w:r>
              <w:t>绩效指标描述</w:t>
            </w:r>
          </w:p>
        </w:tc>
        <w:tc>
          <w:tcPr>
            <w:tcW w:w="1276" w:type="dxa"/>
            <w:vAlign w:val="center"/>
          </w:tcPr>
          <w:p w14:paraId="664657DA">
            <w:pPr>
              <w:pStyle w:val="11"/>
            </w:pPr>
            <w:r>
              <w:t>指标值</w:t>
            </w:r>
          </w:p>
        </w:tc>
        <w:tc>
          <w:tcPr>
            <w:tcW w:w="1843" w:type="dxa"/>
            <w:vAlign w:val="center"/>
          </w:tcPr>
          <w:p w14:paraId="666240F0">
            <w:pPr>
              <w:pStyle w:val="11"/>
            </w:pPr>
            <w:r>
              <w:t>指标值确定依据</w:t>
            </w:r>
          </w:p>
        </w:tc>
      </w:tr>
      <w:tr w14:paraId="1D37D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398C0">
            <w:pPr>
              <w:pStyle w:val="12"/>
            </w:pPr>
            <w:r>
              <w:t>产出指标</w:t>
            </w:r>
          </w:p>
        </w:tc>
        <w:tc>
          <w:tcPr>
            <w:tcW w:w="1276" w:type="dxa"/>
            <w:vAlign w:val="center"/>
          </w:tcPr>
          <w:p w14:paraId="3C5CA9F7">
            <w:pPr>
              <w:pStyle w:val="10"/>
            </w:pPr>
            <w:r>
              <w:t>数量指标</w:t>
            </w:r>
          </w:p>
        </w:tc>
        <w:tc>
          <w:tcPr>
            <w:tcW w:w="1332" w:type="dxa"/>
            <w:vAlign w:val="center"/>
          </w:tcPr>
          <w:p w14:paraId="4E95FB0A">
            <w:pPr>
              <w:pStyle w:val="10"/>
            </w:pPr>
            <w:r>
              <w:t>实际完成率</w:t>
            </w:r>
          </w:p>
        </w:tc>
        <w:tc>
          <w:tcPr>
            <w:tcW w:w="2891" w:type="dxa"/>
            <w:vAlign w:val="center"/>
          </w:tcPr>
          <w:p w14:paraId="4F6DB87C">
            <w:pPr>
              <w:pStyle w:val="10"/>
            </w:pPr>
            <w:r>
              <w:t>实际完成率</w:t>
            </w:r>
          </w:p>
        </w:tc>
        <w:tc>
          <w:tcPr>
            <w:tcW w:w="1276" w:type="dxa"/>
            <w:vAlign w:val="center"/>
          </w:tcPr>
          <w:p w14:paraId="2166EDB0">
            <w:pPr>
              <w:pStyle w:val="10"/>
              <w:rPr>
                <w:rFonts w:hint="eastAsia" w:eastAsia="方正书宋_GBK"/>
                <w:lang w:eastAsia="zh-CN"/>
              </w:rPr>
            </w:pPr>
            <w:r>
              <w:t>≥90实际完成招商业务及项目建设数量占计划完成比</w:t>
            </w:r>
            <w:r>
              <w:rPr>
                <w:rFonts w:hint="eastAsia"/>
                <w:lang w:eastAsia="zh-CN"/>
              </w:rPr>
              <w:t>例</w:t>
            </w:r>
          </w:p>
        </w:tc>
        <w:tc>
          <w:tcPr>
            <w:tcW w:w="1843" w:type="dxa"/>
            <w:vAlign w:val="center"/>
          </w:tcPr>
          <w:p w14:paraId="442273FC">
            <w:pPr>
              <w:pStyle w:val="10"/>
            </w:pPr>
            <w:r>
              <w:t>实际完成招商业务及项目建设数量</w:t>
            </w:r>
          </w:p>
        </w:tc>
      </w:tr>
      <w:tr w14:paraId="06DAC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51BC9C"/>
        </w:tc>
        <w:tc>
          <w:tcPr>
            <w:tcW w:w="1276" w:type="dxa"/>
            <w:vAlign w:val="center"/>
          </w:tcPr>
          <w:p w14:paraId="1B73FC78">
            <w:pPr>
              <w:pStyle w:val="10"/>
            </w:pPr>
            <w:r>
              <w:t>成本指标</w:t>
            </w:r>
          </w:p>
        </w:tc>
        <w:tc>
          <w:tcPr>
            <w:tcW w:w="1332" w:type="dxa"/>
            <w:vAlign w:val="center"/>
          </w:tcPr>
          <w:p w14:paraId="3FDE286F">
            <w:pPr>
              <w:pStyle w:val="10"/>
            </w:pPr>
            <w:r>
              <w:t>资金成本</w:t>
            </w:r>
          </w:p>
        </w:tc>
        <w:tc>
          <w:tcPr>
            <w:tcW w:w="2891" w:type="dxa"/>
            <w:vAlign w:val="center"/>
          </w:tcPr>
          <w:p w14:paraId="1F1CAE3F">
            <w:pPr>
              <w:pStyle w:val="10"/>
            </w:pPr>
            <w:r>
              <w:t>资金成本</w:t>
            </w:r>
          </w:p>
        </w:tc>
        <w:tc>
          <w:tcPr>
            <w:tcW w:w="1276" w:type="dxa"/>
            <w:vAlign w:val="center"/>
          </w:tcPr>
          <w:p w14:paraId="3FA16FD9">
            <w:pPr>
              <w:pStyle w:val="10"/>
              <w:rPr>
                <w:rFonts w:hint="eastAsia" w:eastAsia="方正书宋_GBK"/>
                <w:lang w:eastAsia="zh-CN"/>
              </w:rPr>
            </w:pPr>
            <w:r>
              <w:t>≤90各项费用开支小于或等于总成本比</w:t>
            </w:r>
            <w:r>
              <w:rPr>
                <w:rFonts w:hint="eastAsia"/>
                <w:lang w:eastAsia="zh-CN"/>
              </w:rPr>
              <w:t>例</w:t>
            </w:r>
          </w:p>
        </w:tc>
        <w:tc>
          <w:tcPr>
            <w:tcW w:w="1843" w:type="dxa"/>
            <w:vAlign w:val="center"/>
          </w:tcPr>
          <w:p w14:paraId="23646795">
            <w:pPr>
              <w:pStyle w:val="10"/>
            </w:pPr>
            <w:r>
              <w:t>各项费用实际开支数</w:t>
            </w:r>
          </w:p>
        </w:tc>
      </w:tr>
      <w:tr w14:paraId="077ED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450406"/>
        </w:tc>
        <w:tc>
          <w:tcPr>
            <w:tcW w:w="1276" w:type="dxa"/>
            <w:vAlign w:val="center"/>
          </w:tcPr>
          <w:p w14:paraId="7DBB7C71">
            <w:pPr>
              <w:pStyle w:val="10"/>
            </w:pPr>
            <w:r>
              <w:t>质量指标</w:t>
            </w:r>
          </w:p>
        </w:tc>
        <w:tc>
          <w:tcPr>
            <w:tcW w:w="1332" w:type="dxa"/>
            <w:vAlign w:val="center"/>
          </w:tcPr>
          <w:p w14:paraId="55E3B172">
            <w:pPr>
              <w:pStyle w:val="10"/>
            </w:pPr>
            <w:r>
              <w:t>资金到位率</w:t>
            </w:r>
          </w:p>
        </w:tc>
        <w:tc>
          <w:tcPr>
            <w:tcW w:w="2891" w:type="dxa"/>
            <w:vAlign w:val="center"/>
          </w:tcPr>
          <w:p w14:paraId="2D0258EF">
            <w:pPr>
              <w:pStyle w:val="10"/>
            </w:pPr>
            <w:r>
              <w:t>资金到位率</w:t>
            </w:r>
          </w:p>
        </w:tc>
        <w:tc>
          <w:tcPr>
            <w:tcW w:w="1276" w:type="dxa"/>
            <w:vAlign w:val="center"/>
          </w:tcPr>
          <w:p w14:paraId="17CD8B79">
            <w:pPr>
              <w:pStyle w:val="10"/>
            </w:pPr>
            <w:r>
              <w:t>≥90招商业务及项目建设资金到位率</w:t>
            </w:r>
          </w:p>
        </w:tc>
        <w:tc>
          <w:tcPr>
            <w:tcW w:w="1843" w:type="dxa"/>
            <w:vAlign w:val="center"/>
          </w:tcPr>
          <w:p w14:paraId="1CB72459">
            <w:pPr>
              <w:pStyle w:val="10"/>
            </w:pPr>
            <w:r>
              <w:t>招商业务及项目建设资金到位数</w:t>
            </w:r>
          </w:p>
        </w:tc>
      </w:tr>
      <w:tr w14:paraId="72772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4CA306"/>
        </w:tc>
        <w:tc>
          <w:tcPr>
            <w:tcW w:w="1276" w:type="dxa"/>
            <w:vAlign w:val="center"/>
          </w:tcPr>
          <w:p w14:paraId="6EA5F8F3">
            <w:pPr>
              <w:pStyle w:val="10"/>
            </w:pPr>
            <w:r>
              <w:t>时效指标</w:t>
            </w:r>
          </w:p>
        </w:tc>
        <w:tc>
          <w:tcPr>
            <w:tcW w:w="1332" w:type="dxa"/>
            <w:vAlign w:val="center"/>
          </w:tcPr>
          <w:p w14:paraId="032B4238">
            <w:pPr>
              <w:pStyle w:val="10"/>
            </w:pPr>
            <w:r>
              <w:t>资金按时拨付</w:t>
            </w:r>
          </w:p>
        </w:tc>
        <w:tc>
          <w:tcPr>
            <w:tcW w:w="2891" w:type="dxa"/>
            <w:vAlign w:val="center"/>
          </w:tcPr>
          <w:p w14:paraId="0F22E0F6">
            <w:pPr>
              <w:pStyle w:val="10"/>
            </w:pPr>
            <w:r>
              <w:t>资金按时拨付</w:t>
            </w:r>
          </w:p>
        </w:tc>
        <w:tc>
          <w:tcPr>
            <w:tcW w:w="1276" w:type="dxa"/>
            <w:vAlign w:val="center"/>
          </w:tcPr>
          <w:p w14:paraId="4678CD9A">
            <w:pPr>
              <w:pStyle w:val="10"/>
              <w:rPr>
                <w:rFonts w:hint="eastAsia" w:eastAsia="方正书宋_GBK"/>
                <w:lang w:eastAsia="zh-CN"/>
              </w:rPr>
            </w:pPr>
            <w:r>
              <w:t>≥90按时拨付各项费用的需求比</w:t>
            </w:r>
            <w:r>
              <w:rPr>
                <w:rFonts w:hint="eastAsia"/>
                <w:lang w:eastAsia="zh-CN"/>
              </w:rPr>
              <w:t>例</w:t>
            </w:r>
          </w:p>
        </w:tc>
        <w:tc>
          <w:tcPr>
            <w:tcW w:w="1843" w:type="dxa"/>
            <w:vAlign w:val="center"/>
          </w:tcPr>
          <w:p w14:paraId="4F923377">
            <w:pPr>
              <w:pStyle w:val="10"/>
            </w:pPr>
            <w:r>
              <w:t>按时拨付资金需求数</w:t>
            </w:r>
          </w:p>
        </w:tc>
      </w:tr>
      <w:tr w14:paraId="13D29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948EC">
            <w:pPr>
              <w:pStyle w:val="12"/>
            </w:pPr>
            <w:r>
              <w:t>效益指标</w:t>
            </w:r>
          </w:p>
        </w:tc>
        <w:tc>
          <w:tcPr>
            <w:tcW w:w="1276" w:type="dxa"/>
            <w:vAlign w:val="center"/>
          </w:tcPr>
          <w:p w14:paraId="3DC809DB">
            <w:pPr>
              <w:pStyle w:val="10"/>
            </w:pPr>
            <w:r>
              <w:t>经济效益指标</w:t>
            </w:r>
          </w:p>
        </w:tc>
        <w:tc>
          <w:tcPr>
            <w:tcW w:w="1332" w:type="dxa"/>
            <w:vAlign w:val="center"/>
          </w:tcPr>
          <w:p w14:paraId="698AA7A2">
            <w:pPr>
              <w:pStyle w:val="10"/>
            </w:pPr>
            <w:r>
              <w:t>经济效益指标</w:t>
            </w:r>
          </w:p>
        </w:tc>
        <w:tc>
          <w:tcPr>
            <w:tcW w:w="2891" w:type="dxa"/>
            <w:vAlign w:val="center"/>
          </w:tcPr>
          <w:p w14:paraId="52389B03">
            <w:pPr>
              <w:pStyle w:val="10"/>
            </w:pPr>
            <w:r>
              <w:t>经济效益指标</w:t>
            </w:r>
          </w:p>
        </w:tc>
        <w:tc>
          <w:tcPr>
            <w:tcW w:w="1276" w:type="dxa"/>
            <w:vAlign w:val="center"/>
          </w:tcPr>
          <w:p w14:paraId="69C6F77D">
            <w:pPr>
              <w:pStyle w:val="10"/>
            </w:pPr>
            <w:r>
              <w:t>≥90各项经济指标实际完成占计划完成比例</w:t>
            </w:r>
          </w:p>
        </w:tc>
        <w:tc>
          <w:tcPr>
            <w:tcW w:w="1843" w:type="dxa"/>
            <w:vAlign w:val="center"/>
          </w:tcPr>
          <w:p w14:paraId="057EEA32">
            <w:pPr>
              <w:pStyle w:val="10"/>
            </w:pPr>
            <w:r>
              <w:t>各项经济指标实际完成金额</w:t>
            </w:r>
          </w:p>
        </w:tc>
      </w:tr>
      <w:tr w14:paraId="45035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6AF1D4"/>
        </w:tc>
        <w:tc>
          <w:tcPr>
            <w:tcW w:w="1276" w:type="dxa"/>
            <w:vAlign w:val="center"/>
          </w:tcPr>
          <w:p w14:paraId="16BA8633">
            <w:pPr>
              <w:pStyle w:val="10"/>
            </w:pPr>
            <w:r>
              <w:t>可持续影响指标</w:t>
            </w:r>
          </w:p>
        </w:tc>
        <w:tc>
          <w:tcPr>
            <w:tcW w:w="1332" w:type="dxa"/>
            <w:vAlign w:val="center"/>
          </w:tcPr>
          <w:p w14:paraId="7E52D7EF">
            <w:pPr>
              <w:pStyle w:val="10"/>
            </w:pPr>
            <w:r>
              <w:t>长期使用性</w:t>
            </w:r>
          </w:p>
        </w:tc>
        <w:tc>
          <w:tcPr>
            <w:tcW w:w="2891" w:type="dxa"/>
            <w:vAlign w:val="center"/>
          </w:tcPr>
          <w:p w14:paraId="38F26C04">
            <w:pPr>
              <w:pStyle w:val="10"/>
            </w:pPr>
            <w:r>
              <w:t>长期使用性</w:t>
            </w:r>
          </w:p>
        </w:tc>
        <w:tc>
          <w:tcPr>
            <w:tcW w:w="1276" w:type="dxa"/>
            <w:vAlign w:val="center"/>
          </w:tcPr>
          <w:p w14:paraId="5FF9A2F4">
            <w:pPr>
              <w:pStyle w:val="10"/>
              <w:rPr>
                <w:rFonts w:hint="eastAsia" w:eastAsia="方正书宋_GBK"/>
                <w:lang w:eastAsia="zh-CN"/>
              </w:rPr>
            </w:pPr>
            <w:r>
              <w:t>≥90招商业务及项目建设服务需求比</w:t>
            </w:r>
            <w:r>
              <w:rPr>
                <w:rFonts w:hint="eastAsia"/>
                <w:lang w:eastAsia="zh-CN"/>
              </w:rPr>
              <w:t>例</w:t>
            </w:r>
          </w:p>
        </w:tc>
        <w:tc>
          <w:tcPr>
            <w:tcW w:w="1843" w:type="dxa"/>
            <w:vAlign w:val="center"/>
          </w:tcPr>
          <w:p w14:paraId="5270357E">
            <w:pPr>
              <w:pStyle w:val="10"/>
            </w:pPr>
            <w:r>
              <w:t>招商业务及项目建设提供全方位的需求</w:t>
            </w:r>
          </w:p>
        </w:tc>
      </w:tr>
      <w:tr w14:paraId="53E75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0A4F27"/>
        </w:tc>
        <w:tc>
          <w:tcPr>
            <w:tcW w:w="1276" w:type="dxa"/>
            <w:vAlign w:val="center"/>
          </w:tcPr>
          <w:p w14:paraId="691E3E64">
            <w:pPr>
              <w:pStyle w:val="10"/>
            </w:pPr>
            <w:r>
              <w:t>社会效益指标</w:t>
            </w:r>
          </w:p>
        </w:tc>
        <w:tc>
          <w:tcPr>
            <w:tcW w:w="1332" w:type="dxa"/>
            <w:vAlign w:val="center"/>
          </w:tcPr>
          <w:p w14:paraId="452A8C2C">
            <w:pPr>
              <w:pStyle w:val="10"/>
            </w:pPr>
            <w:r>
              <w:t>社会影响力</w:t>
            </w:r>
          </w:p>
        </w:tc>
        <w:tc>
          <w:tcPr>
            <w:tcW w:w="2891" w:type="dxa"/>
            <w:vAlign w:val="center"/>
          </w:tcPr>
          <w:p w14:paraId="3EAE5DDC">
            <w:pPr>
              <w:pStyle w:val="10"/>
            </w:pPr>
            <w:r>
              <w:t>社会影响力</w:t>
            </w:r>
          </w:p>
        </w:tc>
        <w:tc>
          <w:tcPr>
            <w:tcW w:w="1276" w:type="dxa"/>
            <w:vAlign w:val="center"/>
          </w:tcPr>
          <w:p w14:paraId="72398F83">
            <w:pPr>
              <w:pStyle w:val="10"/>
            </w:pPr>
            <w:r>
              <w:t>≥90增加就业人数；科技企业占比</w:t>
            </w:r>
          </w:p>
        </w:tc>
        <w:tc>
          <w:tcPr>
            <w:tcW w:w="1843" w:type="dxa"/>
            <w:vAlign w:val="center"/>
          </w:tcPr>
          <w:p w14:paraId="70DE1F4A">
            <w:pPr>
              <w:pStyle w:val="10"/>
              <w:rPr>
                <w:rFonts w:hint="eastAsia" w:eastAsia="方正书宋_GBK"/>
                <w:lang w:eastAsia="zh-CN"/>
              </w:rPr>
            </w:pPr>
            <w:r>
              <w:t>就业人数完成目标任务及高</w:t>
            </w:r>
            <w:r>
              <w:rPr>
                <w:rFonts w:hint="eastAsia"/>
                <w:lang w:eastAsia="zh-CN"/>
              </w:rPr>
              <w:t>新</w:t>
            </w:r>
            <w:r>
              <w:t>技术企业完成比</w:t>
            </w:r>
            <w:r>
              <w:rPr>
                <w:rFonts w:hint="eastAsia"/>
                <w:lang w:eastAsia="zh-CN"/>
              </w:rPr>
              <w:t>例</w:t>
            </w:r>
          </w:p>
        </w:tc>
      </w:tr>
      <w:tr w14:paraId="4AA2E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C12005">
            <w:pPr>
              <w:pStyle w:val="12"/>
            </w:pPr>
            <w:r>
              <w:t>满意度指标</w:t>
            </w:r>
          </w:p>
        </w:tc>
        <w:tc>
          <w:tcPr>
            <w:tcW w:w="1276" w:type="dxa"/>
            <w:vAlign w:val="center"/>
          </w:tcPr>
          <w:p w14:paraId="656BCD82">
            <w:pPr>
              <w:pStyle w:val="10"/>
            </w:pPr>
            <w:r>
              <w:t>服务对象满意度指标</w:t>
            </w:r>
          </w:p>
        </w:tc>
        <w:tc>
          <w:tcPr>
            <w:tcW w:w="1332" w:type="dxa"/>
            <w:vAlign w:val="center"/>
          </w:tcPr>
          <w:p w14:paraId="59153A83">
            <w:pPr>
              <w:pStyle w:val="10"/>
            </w:pPr>
            <w:r>
              <w:t>群众满意度</w:t>
            </w:r>
          </w:p>
        </w:tc>
        <w:tc>
          <w:tcPr>
            <w:tcW w:w="2891" w:type="dxa"/>
            <w:vAlign w:val="center"/>
          </w:tcPr>
          <w:p w14:paraId="6198EB1E">
            <w:pPr>
              <w:pStyle w:val="10"/>
            </w:pPr>
            <w:r>
              <w:t>群众对招商业务及项目建设满意度</w:t>
            </w:r>
          </w:p>
        </w:tc>
        <w:tc>
          <w:tcPr>
            <w:tcW w:w="1276" w:type="dxa"/>
            <w:vAlign w:val="center"/>
          </w:tcPr>
          <w:p w14:paraId="08D783E1">
            <w:pPr>
              <w:pStyle w:val="10"/>
              <w:rPr>
                <w:rFonts w:hint="eastAsia" w:eastAsia="方正书宋_GBK"/>
                <w:lang w:eastAsia="zh-CN"/>
              </w:rPr>
            </w:pPr>
            <w:r>
              <w:t>≥85群众对招商业务及项目建设满意度比</w:t>
            </w:r>
            <w:r>
              <w:rPr>
                <w:rFonts w:hint="eastAsia"/>
                <w:lang w:eastAsia="zh-CN"/>
              </w:rPr>
              <w:t>例</w:t>
            </w:r>
          </w:p>
        </w:tc>
        <w:tc>
          <w:tcPr>
            <w:tcW w:w="1843" w:type="dxa"/>
            <w:vAlign w:val="center"/>
          </w:tcPr>
          <w:p w14:paraId="36791A50">
            <w:pPr>
              <w:pStyle w:val="10"/>
            </w:pPr>
            <w:r>
              <w:t>群众满意度</w:t>
            </w:r>
          </w:p>
        </w:tc>
      </w:tr>
    </w:tbl>
    <w:p w14:paraId="33AF8C9E"/>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DDF48">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39516">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zJmOTJjN2NmNzc2ZTQ1YmEwZDkyYjY1YTI0MmZhNjIifQ=="/>
  </w:docVars>
  <w:rsids>
    <w:rsidRoot w:val="001C341F"/>
    <w:rsid w:val="001C341F"/>
    <w:rsid w:val="005712B2"/>
    <w:rsid w:val="005E5202"/>
    <w:rsid w:val="15340BD7"/>
    <w:rsid w:val="3AC84770"/>
    <w:rsid w:val="4B164982"/>
    <w:rsid w:val="57EE676C"/>
    <w:rsid w:val="5AD94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2022-04-20T14:36:00Z</dcterms:created>
  <dcterms:modified xsi:type="dcterms:W3CDTF">2022-04-20T06:36:00Z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2022-04-20T14:36:00Z</dcterms:created>
  <dcterms:modified xsi:type="dcterms:W3CDTF">2022-04-20T06:36:00Z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2022-04-20T14:36:00Z</dcterms:created>
  <dcterms:modified xsi:type="dcterms:W3CDTF">2022-04-20T06:36:00Z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460D1A4-6B54-428A-9193-DB3FAD465F21}">
  <ds:schemaRefs/>
</ds:datastoreItem>
</file>

<file path=customXml/itemProps2.xml><?xml version="1.0" encoding="utf-8"?>
<ds:datastoreItem xmlns:ds="http://schemas.openxmlformats.org/officeDocument/2006/customXml" ds:itemID="{D3D27E2B-CD29-4A11-B30C-03C7F975DADF}">
  <ds:schemaRefs/>
</ds:datastoreItem>
</file>

<file path=customXml/itemProps3.xml><?xml version="1.0" encoding="utf-8"?>
<ds:datastoreItem xmlns:ds="http://schemas.openxmlformats.org/officeDocument/2006/customXml" ds:itemID="{F1F10598-3F01-4340-9165-F4B4884B527F}">
  <ds:schemaRefs/>
</ds:datastoreItem>
</file>

<file path=customXml/itemProps4.xml><?xml version="1.0" encoding="utf-8"?>
<ds:datastoreItem xmlns:ds="http://schemas.openxmlformats.org/officeDocument/2006/customXml" ds:itemID="{51F0BC11-2E38-404F-9AA5-821DAEF7D4F0}">
  <ds:schemaRefs/>
</ds:datastoreItem>
</file>

<file path=customXml/itemProps5.xml><?xml version="1.0" encoding="utf-8"?>
<ds:datastoreItem xmlns:ds="http://schemas.openxmlformats.org/officeDocument/2006/customXml" ds:itemID="{D9532EA3-D4DA-4553-8500-7EB242548C53}">
  <ds:schemaRefs/>
</ds:datastoreItem>
</file>

<file path=customXml/itemProps6.xml><?xml version="1.0" encoding="utf-8"?>
<ds:datastoreItem xmlns:ds="http://schemas.openxmlformats.org/officeDocument/2006/customXml" ds:itemID="{CDBE9E04-4E50-4B37-89AD-C618702FF49E}">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4273</Words>
  <Characters>4366</Characters>
  <Lines>34</Lines>
  <Paragraphs>9</Paragraphs>
  <TotalTime>2</TotalTime>
  <ScaleCrop>false</ScaleCrop>
  <LinksUpToDate>false</LinksUpToDate>
  <CharactersWithSpaces>4416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2022-04-20T14:36:00Z</dcterms:created>
  <dc:creator>Administrator</dc:creator>
  <cp:lastModifiedBy>Administrator</cp:lastModifiedBy>
  <dcterms:modified xsi:type="dcterms:W3CDTF">2025-09-01T08:04:28Z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A3341DB4598441CA9C0E3367BBF0967B_13</vt:lpwstr>
  </property>
  <property fmtid="{D5CDD505-2E9C-101B-9397-08002B2CF9AE}" pid="4" name="KSOTemplateDocerSaveRecord">
    <vt:lpwstr>eyJoZGlkIjoiMzJmOTJjN2NmNzc2ZTQ1YmEwZDkyYjY1YTI0MmZhNjIifQ==</vt:lpwstr>
  </property>
</Properties>
</file>